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1EEA7D40" w:rsidR="003F5E77" w:rsidRPr="008F29D5" w:rsidRDefault="003F5E77" w:rsidP="003F5E77">
      <w:pPr>
        <w:pStyle w:val="Header"/>
        <w:tabs>
          <w:tab w:val="right" w:pos="9639"/>
        </w:tabs>
        <w:jc w:val="both"/>
        <w:rPr>
          <w:rFonts w:cs="Arial"/>
          <w:bCs/>
          <w:i/>
          <w:noProof w:val="0"/>
          <w:sz w:val="32"/>
          <w:lang w:eastAsia="zh-CN"/>
        </w:rPr>
      </w:pPr>
      <w:r w:rsidRPr="008F29D5">
        <w:rPr>
          <w:rFonts w:cs="Arial"/>
          <w:sz w:val="24"/>
          <w:lang w:eastAsia="zh-CN"/>
        </w:rPr>
        <w:t>3GPP T</w:t>
      </w:r>
      <w:bookmarkStart w:id="0" w:name="_Ref452454252"/>
      <w:bookmarkEnd w:id="0"/>
      <w:r w:rsidR="00E43E99" w:rsidRPr="008F29D5">
        <w:rPr>
          <w:rFonts w:cs="Arial"/>
          <w:sz w:val="24"/>
          <w:lang w:eastAsia="zh-CN"/>
        </w:rPr>
        <w:t xml:space="preserve">SG RAN WG2 Meeting </w:t>
      </w:r>
      <w:r w:rsidR="00FF48ED" w:rsidRPr="008F29D5">
        <w:rPr>
          <w:rFonts w:cs="Arial"/>
          <w:sz w:val="24"/>
          <w:lang w:eastAsia="zh-CN"/>
        </w:rPr>
        <w:t>#99</w:t>
      </w:r>
      <w:r w:rsidR="007F5F40" w:rsidRPr="008F29D5">
        <w:rPr>
          <w:rFonts w:cs="Arial"/>
          <w:sz w:val="24"/>
          <w:lang w:eastAsia="zh-CN"/>
        </w:rPr>
        <w:t>bis</w:t>
      </w:r>
      <w:r w:rsidRPr="008F29D5">
        <w:rPr>
          <w:rFonts w:cs="Arial"/>
          <w:bCs/>
          <w:noProof w:val="0"/>
          <w:sz w:val="24"/>
        </w:rPr>
        <w:t xml:space="preserve">                                               </w:t>
      </w:r>
      <w:r w:rsidR="00FF48ED" w:rsidRPr="008F29D5">
        <w:rPr>
          <w:rFonts w:cs="Arial"/>
          <w:bCs/>
          <w:noProof w:val="0"/>
          <w:sz w:val="24"/>
        </w:rPr>
        <w:t xml:space="preserve">     </w:t>
      </w:r>
      <w:r w:rsidRPr="008F29D5">
        <w:rPr>
          <w:rFonts w:cs="Arial"/>
          <w:bCs/>
          <w:noProof w:val="0"/>
          <w:sz w:val="24"/>
        </w:rPr>
        <w:t xml:space="preserve"> </w:t>
      </w:r>
      <w:r w:rsidR="008D015B" w:rsidRPr="008F29D5">
        <w:rPr>
          <w:rFonts w:cs="Arial"/>
          <w:bCs/>
          <w:noProof w:val="0"/>
          <w:sz w:val="24"/>
        </w:rPr>
        <w:t xml:space="preserve">     </w:t>
      </w:r>
      <w:r w:rsidR="008203D8" w:rsidRPr="008F29D5">
        <w:rPr>
          <w:rFonts w:cs="Arial"/>
          <w:bCs/>
          <w:noProof w:val="0"/>
          <w:sz w:val="24"/>
        </w:rPr>
        <w:t>R2-17</w:t>
      </w:r>
      <w:r w:rsidR="008D015B" w:rsidRPr="008F29D5">
        <w:rPr>
          <w:rFonts w:cs="Arial"/>
          <w:bCs/>
          <w:noProof w:val="0"/>
          <w:sz w:val="24"/>
        </w:rPr>
        <w:t>10606</w:t>
      </w:r>
    </w:p>
    <w:p w14:paraId="6E5B34B2" w14:textId="2E3742D8" w:rsidR="003F5E77" w:rsidRPr="008F29D5" w:rsidRDefault="007F5F40" w:rsidP="003F5E77">
      <w:pPr>
        <w:pStyle w:val="Header"/>
        <w:jc w:val="both"/>
        <w:rPr>
          <w:rFonts w:cs="Arial"/>
          <w:sz w:val="24"/>
          <w:lang w:eastAsia="zh-CN"/>
        </w:rPr>
      </w:pPr>
      <w:r w:rsidRPr="008F29D5">
        <w:rPr>
          <w:rFonts w:cs="Arial"/>
          <w:sz w:val="24"/>
          <w:szCs w:val="24"/>
          <w:bdr w:val="none" w:sz="0" w:space="0" w:color="auto" w:frame="1"/>
        </w:rPr>
        <w:t>Prague</w:t>
      </w:r>
      <w:r w:rsidR="00FF48ED" w:rsidRPr="008F29D5">
        <w:rPr>
          <w:rFonts w:cs="Arial"/>
          <w:sz w:val="24"/>
          <w:szCs w:val="24"/>
          <w:bdr w:val="none" w:sz="0" w:space="0" w:color="auto" w:frame="1"/>
        </w:rPr>
        <w:t xml:space="preserve">, </w:t>
      </w:r>
      <w:r w:rsidR="0002600D" w:rsidRPr="008F29D5">
        <w:rPr>
          <w:rFonts w:cs="Arial"/>
          <w:sz w:val="24"/>
          <w:szCs w:val="24"/>
          <w:bdr w:val="none" w:sz="0" w:space="0" w:color="auto" w:frame="1"/>
        </w:rPr>
        <w:t>Cz</w:t>
      </w:r>
      <w:r w:rsidRPr="008F29D5">
        <w:rPr>
          <w:rFonts w:cs="Arial"/>
          <w:sz w:val="24"/>
          <w:szCs w:val="24"/>
          <w:bdr w:val="none" w:sz="0" w:space="0" w:color="auto" w:frame="1"/>
        </w:rPr>
        <w:t>ech Republic</w:t>
      </w:r>
      <w:r w:rsidR="00FF48ED" w:rsidRPr="008F29D5">
        <w:rPr>
          <w:rFonts w:cs="Arial"/>
          <w:sz w:val="24"/>
          <w:szCs w:val="24"/>
          <w:lang w:eastAsia="zh-CN"/>
        </w:rPr>
        <w:t>,</w:t>
      </w:r>
      <w:r w:rsidR="00FF48ED" w:rsidRPr="008F29D5">
        <w:rPr>
          <w:rFonts w:cs="Arial"/>
          <w:sz w:val="24"/>
          <w:lang w:eastAsia="zh-CN"/>
        </w:rPr>
        <w:t xml:space="preserve"> </w:t>
      </w:r>
      <w:r w:rsidRPr="008F29D5">
        <w:rPr>
          <w:rFonts w:cs="Arial"/>
          <w:sz w:val="24"/>
          <w:lang w:eastAsia="zh-CN"/>
        </w:rPr>
        <w:t>9</w:t>
      </w:r>
      <w:r w:rsidR="00FF48ED" w:rsidRPr="008F29D5">
        <w:rPr>
          <w:rFonts w:cs="Arial"/>
          <w:sz w:val="24"/>
          <w:vertAlign w:val="superscript"/>
          <w:lang w:eastAsia="zh-CN"/>
        </w:rPr>
        <w:t>st</w:t>
      </w:r>
      <w:r w:rsidR="00FF48ED" w:rsidRPr="008F29D5">
        <w:rPr>
          <w:rFonts w:cs="Arial"/>
          <w:sz w:val="24"/>
          <w:lang w:eastAsia="zh-CN"/>
        </w:rPr>
        <w:t xml:space="preserve"> – </w:t>
      </w:r>
      <w:r w:rsidRPr="008F29D5">
        <w:rPr>
          <w:rFonts w:cs="Arial"/>
          <w:sz w:val="24"/>
          <w:lang w:eastAsia="zh-CN"/>
        </w:rPr>
        <w:t>13</w:t>
      </w:r>
      <w:r w:rsidR="00FF48ED" w:rsidRPr="008F29D5">
        <w:rPr>
          <w:rFonts w:cs="Arial"/>
          <w:sz w:val="24"/>
          <w:vertAlign w:val="superscript"/>
          <w:lang w:eastAsia="zh-CN"/>
        </w:rPr>
        <w:t>th</w:t>
      </w:r>
      <w:r w:rsidR="00FF48ED" w:rsidRPr="008F29D5">
        <w:rPr>
          <w:rFonts w:cs="Arial"/>
          <w:sz w:val="24"/>
          <w:lang w:eastAsia="zh-CN"/>
        </w:rPr>
        <w:t xml:space="preserve"> </w:t>
      </w:r>
      <w:r w:rsidRPr="008F29D5">
        <w:rPr>
          <w:rFonts w:cs="Arial"/>
          <w:sz w:val="24"/>
          <w:lang w:eastAsia="zh-CN"/>
        </w:rPr>
        <w:t>October</w:t>
      </w:r>
      <w:r w:rsidR="00FF48ED" w:rsidRPr="008F29D5">
        <w:rPr>
          <w:rFonts w:cs="Arial"/>
          <w:sz w:val="24"/>
          <w:lang w:eastAsia="zh-CN"/>
        </w:rPr>
        <w:t>, 2017                           revision R2-170</w:t>
      </w:r>
      <w:r w:rsidRPr="008F29D5">
        <w:rPr>
          <w:rFonts w:cs="Arial"/>
          <w:sz w:val="24"/>
          <w:lang w:eastAsia="zh-CN"/>
        </w:rPr>
        <w:t>8790</w:t>
      </w:r>
      <w:r w:rsidR="009B598A" w:rsidRPr="008F29D5">
        <w:rPr>
          <w:rFonts w:cs="Arial"/>
          <w:sz w:val="24"/>
          <w:lang w:eastAsia="zh-CN"/>
        </w:rPr>
        <w:t xml:space="preserve">                                    </w:t>
      </w:r>
    </w:p>
    <w:p w14:paraId="3C01718C" w14:textId="77777777" w:rsidR="003F5E77" w:rsidRPr="008F29D5" w:rsidRDefault="003F5E77" w:rsidP="003F5E77">
      <w:pPr>
        <w:pStyle w:val="Header"/>
        <w:jc w:val="both"/>
        <w:rPr>
          <w:rFonts w:cs="Arial"/>
          <w:bCs/>
          <w:noProof w:val="0"/>
          <w:sz w:val="24"/>
          <w:lang w:eastAsia="ja-JP"/>
        </w:rPr>
      </w:pPr>
    </w:p>
    <w:p w14:paraId="1E6DDC75" w14:textId="71B97BC6" w:rsidR="003F5E77" w:rsidRPr="008F29D5" w:rsidRDefault="003F5E77" w:rsidP="003F5E77">
      <w:pPr>
        <w:pStyle w:val="CRCoverPage"/>
        <w:jc w:val="both"/>
        <w:rPr>
          <w:rFonts w:eastAsia="SimSun" w:cs="Arial"/>
          <w:b/>
          <w:bCs/>
          <w:sz w:val="24"/>
          <w:lang w:val="en-US" w:eastAsia="zh-CN"/>
        </w:rPr>
      </w:pPr>
      <w:r w:rsidRPr="008F29D5">
        <w:rPr>
          <w:rFonts w:cs="Arial"/>
          <w:b/>
          <w:bCs/>
          <w:sz w:val="24"/>
          <w:lang w:val="en-US"/>
        </w:rPr>
        <w:t>Agenda item:</w:t>
      </w:r>
      <w:r w:rsidRPr="008F29D5">
        <w:rPr>
          <w:rFonts w:cs="Arial"/>
          <w:b/>
          <w:bCs/>
          <w:sz w:val="24"/>
          <w:lang w:val="en-US"/>
        </w:rPr>
        <w:tab/>
      </w:r>
      <w:r w:rsidRPr="008F29D5">
        <w:rPr>
          <w:rFonts w:cs="Arial"/>
          <w:b/>
          <w:bCs/>
          <w:sz w:val="24"/>
          <w:lang w:val="en-US"/>
        </w:rPr>
        <w:tab/>
      </w:r>
      <w:r w:rsidR="00DB6C24" w:rsidRPr="008F29D5">
        <w:rPr>
          <w:rFonts w:cs="Arial"/>
          <w:bCs/>
          <w:sz w:val="24"/>
          <w:lang w:val="en-US"/>
        </w:rPr>
        <w:t>10.</w:t>
      </w:r>
      <w:r w:rsidR="00493459" w:rsidRPr="008F29D5">
        <w:rPr>
          <w:rFonts w:cs="Arial"/>
          <w:bCs/>
          <w:sz w:val="24"/>
          <w:lang w:val="en-US"/>
        </w:rPr>
        <w:t>3.1.6</w:t>
      </w:r>
      <w:r w:rsidRPr="008F29D5" w:rsidDel="00F41BC4">
        <w:rPr>
          <w:rFonts w:cs="Arial"/>
          <w:bCs/>
          <w:sz w:val="24"/>
          <w:lang w:val="en-US"/>
        </w:rPr>
        <w:t xml:space="preserve"> </w:t>
      </w:r>
    </w:p>
    <w:p w14:paraId="77AF2AC0" w14:textId="77777777" w:rsidR="003F5E77" w:rsidRPr="008F29D5" w:rsidRDefault="003F5E77" w:rsidP="003F5E77">
      <w:pPr>
        <w:pStyle w:val="CRCoverPage"/>
        <w:jc w:val="both"/>
        <w:rPr>
          <w:rFonts w:cs="Arial"/>
          <w:bCs/>
          <w:sz w:val="24"/>
        </w:rPr>
      </w:pPr>
      <w:r w:rsidRPr="008F29D5">
        <w:rPr>
          <w:rFonts w:cs="Arial"/>
          <w:b/>
          <w:bCs/>
          <w:sz w:val="24"/>
        </w:rPr>
        <w:t>Source:</w:t>
      </w:r>
      <w:r w:rsidRPr="008F29D5">
        <w:rPr>
          <w:rFonts w:cs="Arial"/>
          <w:b/>
          <w:bCs/>
          <w:sz w:val="24"/>
        </w:rPr>
        <w:tab/>
      </w:r>
      <w:r w:rsidRPr="008F29D5">
        <w:rPr>
          <w:rFonts w:cs="Arial"/>
          <w:b/>
          <w:bCs/>
          <w:sz w:val="24"/>
        </w:rPr>
        <w:tab/>
      </w:r>
      <w:r w:rsidRPr="008F29D5">
        <w:rPr>
          <w:rFonts w:cs="Arial"/>
          <w:b/>
          <w:bCs/>
          <w:sz w:val="24"/>
        </w:rPr>
        <w:tab/>
      </w:r>
      <w:r w:rsidRPr="008F29D5">
        <w:rPr>
          <w:rFonts w:cs="Arial"/>
          <w:bCs/>
          <w:sz w:val="24"/>
        </w:rPr>
        <w:t>Intel Corporation</w:t>
      </w:r>
    </w:p>
    <w:p w14:paraId="1607F513" w14:textId="4C086E82" w:rsidR="003F5E77" w:rsidRPr="008F29D5" w:rsidRDefault="003F5E77" w:rsidP="003F5E77">
      <w:pPr>
        <w:tabs>
          <w:tab w:val="left" w:pos="1985"/>
        </w:tabs>
        <w:ind w:left="2880" w:hanging="2880"/>
        <w:jc w:val="both"/>
        <w:rPr>
          <w:rFonts w:ascii="Arial" w:eastAsia="Malgun Gothic" w:hAnsi="Arial" w:cs="Arial"/>
          <w:bCs/>
          <w:sz w:val="24"/>
          <w:szCs w:val="24"/>
          <w:lang w:eastAsia="ko-KR"/>
        </w:rPr>
      </w:pPr>
      <w:r w:rsidRPr="008F29D5">
        <w:rPr>
          <w:rFonts w:ascii="Arial" w:hAnsi="Arial" w:cs="Arial"/>
          <w:b/>
          <w:bCs/>
          <w:sz w:val="24"/>
        </w:rPr>
        <w:t>Title:</w:t>
      </w:r>
      <w:r w:rsidRPr="008F29D5">
        <w:rPr>
          <w:rFonts w:ascii="Arial" w:hAnsi="Arial" w:cs="Arial"/>
          <w:bCs/>
          <w:sz w:val="24"/>
        </w:rPr>
        <w:tab/>
      </w:r>
      <w:r w:rsidRPr="008F29D5">
        <w:rPr>
          <w:rFonts w:ascii="Arial" w:hAnsi="Arial" w:cs="Arial"/>
          <w:bCs/>
          <w:sz w:val="24"/>
        </w:rPr>
        <w:tab/>
      </w:r>
      <w:r w:rsidR="00FD62C8" w:rsidRPr="008F29D5">
        <w:rPr>
          <w:rFonts w:ascii="Arial" w:hAnsi="Arial" w:cs="Arial"/>
          <w:bCs/>
          <w:sz w:val="24"/>
        </w:rPr>
        <w:t xml:space="preserve">BSR </w:t>
      </w:r>
      <w:r w:rsidR="00550A64" w:rsidRPr="008F29D5">
        <w:rPr>
          <w:rFonts w:ascii="Arial" w:hAnsi="Arial" w:cs="Arial"/>
          <w:bCs/>
          <w:sz w:val="24"/>
        </w:rPr>
        <w:t>enhancements</w:t>
      </w:r>
    </w:p>
    <w:p w14:paraId="4A518DFA" w14:textId="77777777" w:rsidR="003F5E77" w:rsidRPr="008F29D5" w:rsidRDefault="003F5E77" w:rsidP="003F5E77">
      <w:pPr>
        <w:jc w:val="both"/>
        <w:rPr>
          <w:rFonts w:ascii="Arial" w:hAnsi="Arial" w:cs="Arial"/>
          <w:b/>
          <w:bCs/>
          <w:sz w:val="24"/>
          <w:lang w:eastAsia="zh-CN"/>
        </w:rPr>
      </w:pPr>
      <w:r w:rsidRPr="008F29D5">
        <w:rPr>
          <w:rFonts w:ascii="Arial" w:hAnsi="Arial" w:cs="Arial"/>
          <w:b/>
          <w:bCs/>
          <w:sz w:val="24"/>
        </w:rPr>
        <w:t>Document for:</w:t>
      </w:r>
      <w:r w:rsidRPr="008F29D5">
        <w:rPr>
          <w:rFonts w:ascii="Arial" w:hAnsi="Arial" w:cs="Arial"/>
          <w:b/>
          <w:bCs/>
          <w:sz w:val="24"/>
        </w:rPr>
        <w:tab/>
      </w:r>
      <w:r w:rsidRPr="008F29D5">
        <w:rPr>
          <w:rFonts w:ascii="Arial" w:hAnsi="Arial" w:cs="Arial"/>
          <w:b/>
          <w:bCs/>
          <w:sz w:val="24"/>
        </w:rPr>
        <w:tab/>
      </w:r>
      <w:r w:rsidRPr="008F29D5">
        <w:rPr>
          <w:rFonts w:ascii="Arial" w:hAnsi="Arial" w:cs="Arial"/>
          <w:bCs/>
          <w:sz w:val="24"/>
        </w:rPr>
        <w:t>Discussion and decision</w:t>
      </w:r>
    </w:p>
    <w:p w14:paraId="35C092E0" w14:textId="77777777" w:rsidR="003F5E77" w:rsidRPr="008F29D5" w:rsidRDefault="003F5E77" w:rsidP="003F5E77">
      <w:pPr>
        <w:pStyle w:val="Heading1"/>
        <w:rPr>
          <w:rFonts w:cs="Arial"/>
        </w:rPr>
      </w:pPr>
      <w:bookmarkStart w:id="1" w:name="_Ref429645891"/>
      <w:r w:rsidRPr="008F29D5">
        <w:rPr>
          <w:rFonts w:cs="Arial"/>
        </w:rPr>
        <w:t>Introduction</w:t>
      </w:r>
      <w:bookmarkEnd w:id="1"/>
    </w:p>
    <w:p w14:paraId="7EB8A0CC" w14:textId="2F36911D" w:rsidR="00FC2E12" w:rsidRPr="008F29D5" w:rsidRDefault="00FC2E12" w:rsidP="00FC2E12">
      <w:pPr>
        <w:rPr>
          <w:lang w:val="en-GB" w:eastAsia="x-none"/>
        </w:rPr>
      </w:pPr>
      <w:r w:rsidRPr="008F29D5">
        <w:rPr>
          <w:lang w:val="en-GB" w:eastAsia="x-none"/>
        </w:rPr>
        <w:t>In RAN2#97bis meeting [1], following agreement was made regarding BSR enhancement.</w:t>
      </w:r>
    </w:p>
    <w:p w14:paraId="0BFDBFCD" w14:textId="77777777" w:rsidR="00FC2E12" w:rsidRPr="008F29D5" w:rsidRDefault="00FC2E12" w:rsidP="00FC2E12">
      <w:pPr>
        <w:pStyle w:val="Doc-text2"/>
        <w:pBdr>
          <w:top w:val="single" w:sz="4" w:space="1" w:color="auto"/>
          <w:left w:val="single" w:sz="4" w:space="4" w:color="auto"/>
          <w:bottom w:val="single" w:sz="4" w:space="1" w:color="auto"/>
          <w:right w:val="single" w:sz="4" w:space="4" w:color="auto"/>
        </w:pBdr>
        <w:tabs>
          <w:tab w:val="left" w:pos="450"/>
        </w:tabs>
        <w:rPr>
          <w:b/>
        </w:rPr>
      </w:pPr>
      <w:r w:rsidRPr="008F29D5">
        <w:rPr>
          <w:b/>
        </w:rPr>
        <w:t>RAN2 Agreements on SR/BRS</w:t>
      </w:r>
    </w:p>
    <w:p w14:paraId="2FDFF1E1" w14:textId="213CA945" w:rsidR="00FC2E12" w:rsidRPr="008F29D5" w:rsidRDefault="00FC2E12" w:rsidP="00FC2E12">
      <w:pPr>
        <w:pStyle w:val="Doc-text2"/>
        <w:pBdr>
          <w:top w:val="single" w:sz="4" w:space="1" w:color="auto"/>
          <w:left w:val="single" w:sz="4" w:space="4" w:color="auto"/>
          <w:bottom w:val="single" w:sz="4" w:space="1" w:color="auto"/>
          <w:right w:val="single" w:sz="4" w:space="4" w:color="auto"/>
        </w:pBdr>
        <w:tabs>
          <w:tab w:val="left" w:pos="450"/>
        </w:tabs>
      </w:pPr>
      <w:r w:rsidRPr="008F29D5">
        <w:rPr>
          <w:i/>
        </w:rPr>
        <w:t>-</w:t>
      </w:r>
      <w:r w:rsidRPr="008F29D5">
        <w:rPr>
          <w:i/>
        </w:rPr>
        <w:tab/>
      </w:r>
      <w:r w:rsidRPr="008F29D5">
        <w:t>The existing LTE BSR framework is used as baseline for NR BSR framework.  Further enhancements at least related to numerologies and granularity and can be further discussed,</w:t>
      </w:r>
    </w:p>
    <w:p w14:paraId="3D4F058D" w14:textId="77777777" w:rsidR="00FC2E12" w:rsidRPr="008F29D5" w:rsidRDefault="00FC2E12" w:rsidP="00FC2E12">
      <w:pPr>
        <w:pStyle w:val="Doc-text2"/>
        <w:pBdr>
          <w:top w:val="single" w:sz="4" w:space="1" w:color="auto"/>
          <w:left w:val="single" w:sz="4" w:space="4" w:color="auto"/>
          <w:bottom w:val="single" w:sz="4" w:space="1" w:color="auto"/>
          <w:right w:val="single" w:sz="4" w:space="4" w:color="auto"/>
        </w:pBdr>
        <w:tabs>
          <w:tab w:val="left" w:pos="450"/>
        </w:tabs>
      </w:pPr>
      <w:r w:rsidRPr="008F29D5">
        <w:t xml:space="preserve">  </w:t>
      </w:r>
    </w:p>
    <w:p w14:paraId="313AFDF0" w14:textId="3EE167EF" w:rsidR="00577EB2" w:rsidRPr="008F29D5" w:rsidRDefault="00FC2E12" w:rsidP="00577EB2">
      <w:pPr>
        <w:rPr>
          <w:lang w:val="en-GB" w:eastAsia="x-none"/>
        </w:rPr>
      </w:pPr>
      <w:r w:rsidRPr="008F29D5">
        <w:rPr>
          <w:lang w:val="en-GB" w:eastAsia="x-none"/>
        </w:rPr>
        <w:t>In the RAN2#98 meeting [2], following agreements were made.</w:t>
      </w:r>
    </w:p>
    <w:p w14:paraId="637D814E" w14:textId="77777777" w:rsidR="00FC2E12" w:rsidRPr="008F29D5" w:rsidRDefault="00FC2E12" w:rsidP="00FC2E12">
      <w:pPr>
        <w:pStyle w:val="Doc-text2"/>
        <w:pBdr>
          <w:top w:val="single" w:sz="4" w:space="1" w:color="auto"/>
          <w:left w:val="single" w:sz="4" w:space="4" w:color="auto"/>
          <w:bottom w:val="single" w:sz="4" w:space="1" w:color="auto"/>
          <w:right w:val="single" w:sz="4" w:space="4" w:color="auto"/>
        </w:pBdr>
        <w:rPr>
          <w:b/>
        </w:rPr>
      </w:pPr>
      <w:r w:rsidRPr="008F29D5">
        <w:rPr>
          <w:b/>
        </w:rPr>
        <w:t>Agreements</w:t>
      </w:r>
    </w:p>
    <w:p w14:paraId="60D66693" w14:textId="77777777" w:rsidR="00FC2E12" w:rsidRPr="008F29D5" w:rsidRDefault="00FC2E12" w:rsidP="00FC2E12">
      <w:pPr>
        <w:pStyle w:val="Doc-text2"/>
        <w:numPr>
          <w:ilvl w:val="0"/>
          <w:numId w:val="19"/>
        </w:numPr>
        <w:pBdr>
          <w:top w:val="single" w:sz="4" w:space="1" w:color="auto"/>
          <w:left w:val="single" w:sz="4" w:space="4" w:color="auto"/>
          <w:bottom w:val="single" w:sz="4" w:space="1" w:color="auto"/>
          <w:right w:val="single" w:sz="4" w:space="4" w:color="auto"/>
        </w:pBdr>
      </w:pPr>
      <w:r w:rsidRPr="008F29D5">
        <w:t xml:space="preserve">The number of LCGs will be increased up to 8.  </w:t>
      </w:r>
    </w:p>
    <w:p w14:paraId="1C29FC0E" w14:textId="77777777" w:rsidR="00FC2E12" w:rsidRPr="008F29D5" w:rsidRDefault="00FC2E12" w:rsidP="00FC2E12">
      <w:pPr>
        <w:pStyle w:val="Doc-text2"/>
        <w:numPr>
          <w:ilvl w:val="0"/>
          <w:numId w:val="19"/>
        </w:numPr>
        <w:pBdr>
          <w:top w:val="single" w:sz="4" w:space="1" w:color="auto"/>
          <w:left w:val="single" w:sz="4" w:space="4" w:color="auto"/>
          <w:bottom w:val="single" w:sz="4" w:space="1" w:color="auto"/>
          <w:right w:val="single" w:sz="4" w:space="4" w:color="auto"/>
        </w:pBdr>
      </w:pPr>
      <w:r w:rsidRPr="008F29D5">
        <w:t xml:space="preserve">The concept of </w:t>
      </w:r>
      <w:proofErr w:type="spellStart"/>
      <w:r w:rsidRPr="008F29D5">
        <w:rPr>
          <w:i/>
        </w:rPr>
        <w:t>periodicBSR</w:t>
      </w:r>
      <w:proofErr w:type="spellEnd"/>
      <w:r w:rsidRPr="008F29D5">
        <w:rPr>
          <w:i/>
        </w:rPr>
        <w:t>-timer</w:t>
      </w:r>
      <w:r w:rsidRPr="008F29D5">
        <w:t xml:space="preserve"> and </w:t>
      </w:r>
      <w:proofErr w:type="spellStart"/>
      <w:r w:rsidRPr="008F29D5">
        <w:rPr>
          <w:i/>
        </w:rPr>
        <w:t>retx-BSRtimers</w:t>
      </w:r>
      <w:proofErr w:type="spellEnd"/>
      <w:r w:rsidRPr="008F29D5">
        <w:t xml:space="preserve"> are reused and are configured per MAC entity </w:t>
      </w:r>
    </w:p>
    <w:p w14:paraId="11B77915" w14:textId="77777777" w:rsidR="00FC2E12" w:rsidRPr="008F29D5" w:rsidRDefault="00FC2E12" w:rsidP="00FC2E12">
      <w:pPr>
        <w:pStyle w:val="Doc-text2"/>
        <w:numPr>
          <w:ilvl w:val="0"/>
          <w:numId w:val="19"/>
        </w:numPr>
        <w:pBdr>
          <w:top w:val="single" w:sz="4" w:space="1" w:color="auto"/>
          <w:left w:val="single" w:sz="4" w:space="4" w:color="auto"/>
          <w:bottom w:val="single" w:sz="4" w:space="1" w:color="auto"/>
          <w:right w:val="single" w:sz="4" w:space="4" w:color="auto"/>
        </w:pBdr>
      </w:pPr>
      <w:r w:rsidRPr="008F29D5">
        <w:t xml:space="preserve">As a baseline, the concept of </w:t>
      </w:r>
      <w:proofErr w:type="spellStart"/>
      <w:r w:rsidRPr="008F29D5">
        <w:t>logicalChannelSR-ProhibitTimer</w:t>
      </w:r>
      <w:proofErr w:type="spellEnd"/>
      <w:r w:rsidRPr="008F29D5">
        <w:t xml:space="preserve"> is reused in NR. It is allowed to </w:t>
      </w:r>
      <w:proofErr w:type="gramStart"/>
      <w:r w:rsidRPr="008F29D5">
        <w:t>configured</w:t>
      </w:r>
      <w:proofErr w:type="gramEnd"/>
      <w:r w:rsidRPr="008F29D5">
        <w:t xml:space="preserve"> infinite value for this timer.</w:t>
      </w:r>
    </w:p>
    <w:p w14:paraId="46ACE5DB" w14:textId="77777777" w:rsidR="00FC2E12" w:rsidRPr="008F29D5" w:rsidRDefault="00FC2E12" w:rsidP="00FC2E12">
      <w:pPr>
        <w:pStyle w:val="Doc-text2"/>
        <w:numPr>
          <w:ilvl w:val="0"/>
          <w:numId w:val="19"/>
        </w:numPr>
        <w:pBdr>
          <w:top w:val="single" w:sz="4" w:space="1" w:color="auto"/>
          <w:left w:val="single" w:sz="4" w:space="4" w:color="auto"/>
          <w:bottom w:val="single" w:sz="4" w:space="1" w:color="auto"/>
          <w:right w:val="single" w:sz="4" w:space="4" w:color="auto"/>
        </w:pBdr>
      </w:pPr>
      <w:r w:rsidRPr="008F29D5">
        <w:t xml:space="preserve">The </w:t>
      </w:r>
      <w:proofErr w:type="spellStart"/>
      <w:r w:rsidRPr="008F29D5">
        <w:t>logicalChannelSR</w:t>
      </w:r>
      <w:proofErr w:type="spellEnd"/>
      <w:r w:rsidRPr="008F29D5">
        <w:t xml:space="preserve">-Mask is supported </w:t>
      </w:r>
    </w:p>
    <w:p w14:paraId="709D0AF4" w14:textId="77777777" w:rsidR="007F5F40" w:rsidRPr="008F29D5" w:rsidRDefault="007F5F40" w:rsidP="00577EB2">
      <w:pPr>
        <w:rPr>
          <w:lang w:val="en-GB" w:eastAsia="x-none"/>
        </w:rPr>
      </w:pPr>
    </w:p>
    <w:p w14:paraId="02BB1100" w14:textId="39120F47" w:rsidR="007F5F40" w:rsidRPr="008F29D5" w:rsidRDefault="008F29D5" w:rsidP="00AA696D">
      <w:r>
        <w:rPr>
          <w:lang w:val="en-GB" w:eastAsia="x-none"/>
        </w:rPr>
        <w:t>In RAN2 # 99 meeting [5</w:t>
      </w:r>
      <w:r w:rsidR="007F5F40" w:rsidRPr="008F29D5">
        <w:rPr>
          <w:lang w:val="en-GB" w:eastAsia="x-none"/>
        </w:rPr>
        <w:t>], following agreements were made.</w:t>
      </w:r>
    </w:p>
    <w:p w14:paraId="025886A8" w14:textId="77777777" w:rsidR="00AA696D" w:rsidRPr="008F29D5" w:rsidRDefault="00AA696D" w:rsidP="00AA696D">
      <w:pPr>
        <w:pStyle w:val="Doc-text2"/>
        <w:pBdr>
          <w:top w:val="single" w:sz="4" w:space="1" w:color="auto"/>
          <w:left w:val="single" w:sz="4" w:space="4" w:color="auto"/>
          <w:bottom w:val="single" w:sz="4" w:space="1" w:color="auto"/>
          <w:right w:val="single" w:sz="4" w:space="4" w:color="auto"/>
        </w:pBdr>
        <w:rPr>
          <w:b/>
        </w:rPr>
      </w:pPr>
      <w:r w:rsidRPr="008F29D5">
        <w:rPr>
          <w:b/>
        </w:rPr>
        <w:t>Agreements</w:t>
      </w:r>
    </w:p>
    <w:p w14:paraId="19329242" w14:textId="77777777" w:rsidR="00AA696D" w:rsidRPr="008F29D5" w:rsidRDefault="00AA696D" w:rsidP="00AA696D">
      <w:pPr>
        <w:pStyle w:val="Doc-text2"/>
        <w:numPr>
          <w:ilvl w:val="0"/>
          <w:numId w:val="20"/>
        </w:numPr>
        <w:pBdr>
          <w:top w:val="single" w:sz="4" w:space="1" w:color="auto"/>
          <w:left w:val="single" w:sz="4" w:space="4" w:color="auto"/>
          <w:bottom w:val="single" w:sz="4" w:space="1" w:color="auto"/>
          <w:right w:val="single" w:sz="4" w:space="4" w:color="auto"/>
        </w:pBdr>
      </w:pPr>
      <w:r w:rsidRPr="008F29D5">
        <w:t>3 types of BSRs including Regular BSR, Periodic BSR and Padding BSR</w:t>
      </w:r>
    </w:p>
    <w:p w14:paraId="44219C6F" w14:textId="77777777" w:rsidR="00AA696D" w:rsidRPr="008F29D5" w:rsidRDefault="00AA696D" w:rsidP="00AA696D">
      <w:pPr>
        <w:pStyle w:val="Doc-text2"/>
        <w:numPr>
          <w:ilvl w:val="0"/>
          <w:numId w:val="20"/>
        </w:numPr>
        <w:pBdr>
          <w:top w:val="single" w:sz="4" w:space="1" w:color="auto"/>
          <w:left w:val="single" w:sz="4" w:space="4" w:color="auto"/>
          <w:bottom w:val="single" w:sz="4" w:space="1" w:color="auto"/>
          <w:right w:val="single" w:sz="4" w:space="4" w:color="auto"/>
        </w:pBdr>
      </w:pPr>
      <w:r w:rsidRPr="008F29D5">
        <w:t>Short BSR format of one byte is supported.  Truncated BSR format of 1 byte is at least supported.  Details are FFS</w:t>
      </w:r>
    </w:p>
    <w:p w14:paraId="587B307B" w14:textId="77777777" w:rsidR="00AA696D" w:rsidRPr="008F29D5" w:rsidRDefault="00AA696D" w:rsidP="00AA696D">
      <w:pPr>
        <w:pStyle w:val="Doc-text2"/>
        <w:numPr>
          <w:ilvl w:val="0"/>
          <w:numId w:val="20"/>
        </w:numPr>
        <w:pBdr>
          <w:top w:val="single" w:sz="4" w:space="1" w:color="auto"/>
          <w:left w:val="single" w:sz="4" w:space="4" w:color="auto"/>
          <w:bottom w:val="single" w:sz="4" w:space="1" w:color="auto"/>
          <w:right w:val="single" w:sz="4" w:space="4" w:color="auto"/>
        </w:pBdr>
      </w:pPr>
      <w:r w:rsidRPr="008F29D5">
        <w:t>FFS on BS size and table</w:t>
      </w:r>
    </w:p>
    <w:p w14:paraId="08FFB694" w14:textId="77777777" w:rsidR="00AA696D" w:rsidRPr="008F29D5" w:rsidRDefault="00AA696D" w:rsidP="00AA696D">
      <w:pPr>
        <w:pStyle w:val="Doc-text2"/>
        <w:numPr>
          <w:ilvl w:val="0"/>
          <w:numId w:val="20"/>
        </w:numPr>
        <w:pBdr>
          <w:top w:val="single" w:sz="4" w:space="1" w:color="auto"/>
          <w:left w:val="single" w:sz="4" w:space="4" w:color="auto"/>
          <w:bottom w:val="single" w:sz="4" w:space="1" w:color="auto"/>
          <w:right w:val="single" w:sz="4" w:space="4" w:color="auto"/>
        </w:pBdr>
      </w:pPr>
      <w:r w:rsidRPr="008F29D5">
        <w:t xml:space="preserve">Flexible Long BSR format will be supported.  The number of LCGs to report is decided before the PDU is constructed.  BS information is the BS status after LCP.   BS of 0 for some LCG can be reported.  </w:t>
      </w:r>
    </w:p>
    <w:p w14:paraId="550C01B7" w14:textId="77777777" w:rsidR="00AA696D" w:rsidRPr="008F29D5" w:rsidRDefault="00AA696D" w:rsidP="00AA696D">
      <w:pPr>
        <w:pStyle w:val="Doc-text2"/>
        <w:numPr>
          <w:ilvl w:val="0"/>
          <w:numId w:val="20"/>
        </w:numPr>
        <w:pBdr>
          <w:top w:val="single" w:sz="4" w:space="1" w:color="auto"/>
          <w:left w:val="single" w:sz="4" w:space="4" w:color="auto"/>
          <w:bottom w:val="single" w:sz="4" w:space="1" w:color="auto"/>
          <w:right w:val="single" w:sz="4" w:space="4" w:color="auto"/>
        </w:pBdr>
      </w:pPr>
      <w:r w:rsidRPr="008F29D5">
        <w:t>BSR cancelation are FFS</w:t>
      </w:r>
    </w:p>
    <w:p w14:paraId="5D87E3D9" w14:textId="77777777" w:rsidR="007F5F40" w:rsidRPr="008F29D5" w:rsidRDefault="007F5F40" w:rsidP="007F5F40">
      <w:pPr>
        <w:pStyle w:val="Doc-text2"/>
        <w:ind w:left="1619" w:firstLine="0"/>
      </w:pPr>
    </w:p>
    <w:p w14:paraId="72312C4D" w14:textId="62C3991C" w:rsidR="00FC2E12" w:rsidRPr="008F29D5" w:rsidRDefault="00FC2E12" w:rsidP="00577EB2">
      <w:pPr>
        <w:rPr>
          <w:lang w:val="en-GB" w:eastAsia="x-none"/>
        </w:rPr>
      </w:pPr>
      <w:r w:rsidRPr="008F29D5">
        <w:rPr>
          <w:lang w:val="en-GB" w:eastAsia="x-none"/>
        </w:rPr>
        <w:t>In this document, we discuss the</w:t>
      </w:r>
      <w:r w:rsidR="0002600D" w:rsidRPr="008F29D5">
        <w:rPr>
          <w:lang w:val="en-GB" w:eastAsia="x-none"/>
        </w:rPr>
        <w:t xml:space="preserve"> remaining issues such as</w:t>
      </w:r>
      <w:r w:rsidRPr="008F29D5">
        <w:rPr>
          <w:lang w:val="en-GB" w:eastAsia="x-none"/>
        </w:rPr>
        <w:t xml:space="preserve"> </w:t>
      </w:r>
      <w:r w:rsidR="0002600D" w:rsidRPr="008F29D5">
        <w:rPr>
          <w:lang w:val="en-GB" w:eastAsia="x-none"/>
        </w:rPr>
        <w:t>detail format of variable BSR, BSR cancellation and BS field size</w:t>
      </w:r>
      <w:r w:rsidRPr="008F29D5">
        <w:rPr>
          <w:lang w:val="en-GB" w:eastAsia="x-none"/>
        </w:rPr>
        <w:t>.</w:t>
      </w:r>
    </w:p>
    <w:p w14:paraId="37CF7A29" w14:textId="77777777" w:rsidR="003F5E77" w:rsidRPr="008F29D5" w:rsidRDefault="003F5E77" w:rsidP="003F5E77">
      <w:pPr>
        <w:pStyle w:val="Heading1"/>
        <w:rPr>
          <w:rFonts w:cs="Arial"/>
        </w:rPr>
      </w:pPr>
      <w:bookmarkStart w:id="2" w:name="Proposal_Pattern_Length"/>
      <w:r w:rsidRPr="008F29D5">
        <w:rPr>
          <w:rFonts w:cs="Arial"/>
        </w:rPr>
        <w:t>Discussion</w:t>
      </w:r>
    </w:p>
    <w:p w14:paraId="493CEDF9" w14:textId="213FCE1C" w:rsidR="00BF3163" w:rsidRPr="008F29D5" w:rsidRDefault="00BF3163" w:rsidP="00BF3163">
      <w:pPr>
        <w:pStyle w:val="Heading3Style"/>
      </w:pPr>
      <w:bookmarkStart w:id="3" w:name="_Toc478131478"/>
      <w:bookmarkStart w:id="4" w:name="_Toc478158690"/>
      <w:bookmarkStart w:id="5" w:name="_Toc478131479"/>
      <w:bookmarkStart w:id="6" w:name="_Toc478158691"/>
      <w:bookmarkEnd w:id="3"/>
      <w:bookmarkEnd w:id="4"/>
      <w:bookmarkEnd w:id="5"/>
      <w:bookmarkEnd w:id="6"/>
      <w:r w:rsidRPr="008F29D5">
        <w:t>BSR</w:t>
      </w:r>
      <w:r w:rsidR="00550A64" w:rsidRPr="008F29D5">
        <w:t xml:space="preserve"> </w:t>
      </w:r>
      <w:r w:rsidR="00DB6C24" w:rsidRPr="008F29D5">
        <w:t>contents</w:t>
      </w:r>
    </w:p>
    <w:p w14:paraId="39653D9E" w14:textId="0B4A8D3E" w:rsidR="00550A64" w:rsidRPr="008F29D5" w:rsidRDefault="00550A64" w:rsidP="00577EB2">
      <w:r w:rsidRPr="008F29D5">
        <w:t>In LTE, there are four LCGs supported in BSR. There are two types of BSR format</w:t>
      </w:r>
      <w:r w:rsidR="006406DD" w:rsidRPr="008F29D5">
        <w:t>s</w:t>
      </w:r>
      <w:r w:rsidRPr="008F29D5">
        <w:t xml:space="preserve"> short (or truncated) BSR and long BSR format. In short</w:t>
      </w:r>
      <w:r w:rsidR="00FD50AB" w:rsidRPr="008F29D5">
        <w:t>/truncated</w:t>
      </w:r>
      <w:r w:rsidRPr="008F29D5">
        <w:t xml:space="preserve"> BSR format, </w:t>
      </w:r>
      <w:r w:rsidR="00025E6D" w:rsidRPr="008F29D5">
        <w:t>there is buffer size field for only one LCG</w:t>
      </w:r>
      <w:r w:rsidRPr="008F29D5">
        <w:t xml:space="preserve"> where as in long BSR format </w:t>
      </w:r>
      <w:r w:rsidR="00025E6D" w:rsidRPr="008F29D5">
        <w:t>there are buffer size fields for all LCGs</w:t>
      </w:r>
      <w:r w:rsidRPr="008F29D5">
        <w:t>.</w:t>
      </w:r>
      <w:r w:rsidR="00FD50AB" w:rsidRPr="008F29D5">
        <w:t xml:space="preserve"> </w:t>
      </w:r>
      <w:r w:rsidRPr="008F29D5">
        <w:t xml:space="preserve">Based on the 6 bits of buffer size field and 2 bits for LCG ID field, </w:t>
      </w:r>
      <w:r w:rsidRPr="008F29D5">
        <w:lastRenderedPageBreak/>
        <w:t>short BSR MAC CE occupies 1 byte where as long BSR MAC CE occupies 4 bytes. Note that there is no BSR format to report buffer status only from two or three LCGs.</w:t>
      </w:r>
    </w:p>
    <w:p w14:paraId="0E702BCC" w14:textId="46193CD8" w:rsidR="00550A64" w:rsidRPr="008F29D5" w:rsidRDefault="00550A64" w:rsidP="00550A64">
      <w:r w:rsidRPr="008F29D5">
        <w:t>In NR, it is agreed that eight LCGs are defined to report the finer granularity of the data priorities depending on the number of logical channels or types of services to be supported. Note that BSR may not need to carry explicit information specific to numerology/TTI length as this can be implied by the LCG</w:t>
      </w:r>
      <w:r w:rsidR="0030204F" w:rsidRPr="008F29D5">
        <w:t xml:space="preserve">. And </w:t>
      </w:r>
      <w:r w:rsidRPr="008F29D5">
        <w:t>it is up to the network to map a logical channel to a particular numerology/TTI length.</w:t>
      </w:r>
    </w:p>
    <w:p w14:paraId="004CE5B7" w14:textId="1FAFFF59" w:rsidR="00550A64" w:rsidRPr="008F29D5" w:rsidRDefault="00550A64" w:rsidP="00550A64">
      <w:pPr>
        <w:pStyle w:val="Observationstyle"/>
      </w:pPr>
      <w:bookmarkStart w:id="7" w:name="_Toc485111026"/>
      <w:bookmarkStart w:id="8" w:name="_Toc485112794"/>
      <w:bookmarkStart w:id="9" w:name="_Toc485204485"/>
      <w:bookmarkStart w:id="10" w:name="_Toc485407350"/>
      <w:bookmarkStart w:id="11" w:name="_Toc485410825"/>
      <w:bookmarkStart w:id="12" w:name="_Toc489537784"/>
      <w:bookmarkStart w:id="13" w:name="_Toc489540565"/>
      <w:bookmarkStart w:id="14" w:name="_Toc489542066"/>
      <w:bookmarkStart w:id="15" w:name="_Toc489604594"/>
      <w:bookmarkStart w:id="16" w:name="_Toc490133547"/>
      <w:bookmarkStart w:id="17" w:name="_Toc490206780"/>
      <w:bookmarkStart w:id="18" w:name="_Toc490247169"/>
      <w:bookmarkStart w:id="19" w:name="_Toc490250758"/>
      <w:bookmarkStart w:id="20" w:name="_Toc490250859"/>
      <w:bookmarkStart w:id="21" w:name="_Toc494150879"/>
      <w:bookmarkStart w:id="22" w:name="_Toc494156307"/>
      <w:bookmarkStart w:id="23" w:name="_Toc494392108"/>
      <w:bookmarkStart w:id="24" w:name="_Toc494399505"/>
      <w:bookmarkStart w:id="25" w:name="_Toc494405377"/>
      <w:r w:rsidRPr="008F29D5">
        <w:t xml:space="preserve">BSR </w:t>
      </w:r>
      <w:r w:rsidR="0060725A" w:rsidRPr="008F29D5">
        <w:t xml:space="preserve">does </w:t>
      </w:r>
      <w:r w:rsidRPr="008F29D5">
        <w:t>not need to carry explicit information specific to numerology/TTI length as this can be implied by the LCG</w:t>
      </w:r>
      <w:r w:rsidR="0060725A" w:rsidRPr="008F29D5">
        <w:t>. It</w:t>
      </w:r>
      <w:r w:rsidRPr="008F29D5">
        <w:t xml:space="preserve"> is up to the network to map a logical channel to a particular numerology/TTI length</w:t>
      </w:r>
      <w:r w:rsidR="005552CD" w:rsidRPr="008F29D5">
        <w:t xml:space="preserve"> and to a particular LCG</w:t>
      </w:r>
      <w:r w:rsidRPr="008F29D5">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031B381" w14:textId="6FACF1CD" w:rsidR="00DB6C24" w:rsidRPr="008F29D5" w:rsidRDefault="00DB6C24" w:rsidP="00DB6C24">
      <w:pPr>
        <w:pStyle w:val="Recommend-1"/>
      </w:pPr>
      <w:bookmarkStart w:id="26" w:name="_Toc485112623"/>
      <w:bookmarkStart w:id="27" w:name="_Toc485204489"/>
      <w:bookmarkStart w:id="28" w:name="_Toc485407353"/>
      <w:bookmarkStart w:id="29" w:name="_Toc485407359"/>
      <w:bookmarkStart w:id="30" w:name="_Toc485410829"/>
      <w:bookmarkStart w:id="31" w:name="_Toc489537780"/>
      <w:bookmarkStart w:id="32" w:name="_Toc489540549"/>
      <w:bookmarkStart w:id="33" w:name="_Toc489540569"/>
      <w:bookmarkStart w:id="34" w:name="_Toc489542060"/>
      <w:bookmarkStart w:id="35" w:name="_Toc489550757"/>
      <w:bookmarkStart w:id="36" w:name="_Toc489604605"/>
      <w:bookmarkStart w:id="37" w:name="_Toc489695307"/>
      <w:bookmarkStart w:id="38" w:name="_Toc490133551"/>
      <w:bookmarkStart w:id="39" w:name="_Toc490206784"/>
      <w:bookmarkStart w:id="40" w:name="_Toc490247173"/>
      <w:bookmarkStart w:id="41" w:name="_Toc490250762"/>
      <w:bookmarkStart w:id="42" w:name="_Toc490250863"/>
      <w:bookmarkStart w:id="43" w:name="_Toc494150883"/>
      <w:bookmarkStart w:id="44" w:name="_Toc494156312"/>
      <w:bookmarkStart w:id="45" w:name="_Toc494392113"/>
      <w:bookmarkStart w:id="46" w:name="_Toc494399510"/>
      <w:bookmarkStart w:id="47" w:name="_Toc494405371"/>
      <w:r w:rsidRPr="008F29D5">
        <w:t>BSR includes only LCG ID to imply the information of numerology/TTI.</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8C54021" w14:textId="29E43EAB" w:rsidR="00DB6C24" w:rsidRPr="008F29D5" w:rsidRDefault="00DB6C24" w:rsidP="00DB6C24">
      <w:pPr>
        <w:pStyle w:val="Heading3Style"/>
      </w:pPr>
      <w:r w:rsidRPr="008F29D5">
        <w:t>BSR format</w:t>
      </w:r>
    </w:p>
    <w:p w14:paraId="6FBFB906" w14:textId="77777777" w:rsidR="007C37FA" w:rsidRPr="008F29D5" w:rsidRDefault="00B00843" w:rsidP="00550A64">
      <w:r w:rsidRPr="008F29D5">
        <w:t>In NR,</w:t>
      </w:r>
      <w:r w:rsidR="00302914" w:rsidRPr="008F29D5">
        <w:t xml:space="preserve"> as the number of LCGs is increased to 8</w:t>
      </w:r>
      <w:r w:rsidRPr="008F29D5">
        <w:t>, t</w:t>
      </w:r>
      <w:r w:rsidR="00550A64" w:rsidRPr="008F29D5">
        <w:t xml:space="preserve">he LCG ID requires 3 bits of field in the BSR format. This would require </w:t>
      </w:r>
      <w:r w:rsidR="005552CD" w:rsidRPr="008F29D5">
        <w:t xml:space="preserve">a </w:t>
      </w:r>
      <w:r w:rsidR="00550A64" w:rsidRPr="008F29D5">
        <w:t>change in BSR format. If we consider the LTE BSR format i.e. short and long BSR format, short BSR MAC CE</w:t>
      </w:r>
      <w:r w:rsidR="00025E6D" w:rsidRPr="008F29D5">
        <w:t xml:space="preserve"> would require 2 bytes</w:t>
      </w:r>
      <w:r w:rsidR="00302914" w:rsidRPr="008F29D5">
        <w:t xml:space="preserve"> due to </w:t>
      </w:r>
      <w:r w:rsidR="00550A64" w:rsidRPr="008F29D5">
        <w:t xml:space="preserve">byte </w:t>
      </w:r>
      <w:r w:rsidR="00302914" w:rsidRPr="008F29D5">
        <w:t>alignment as given in table 1</w:t>
      </w:r>
      <w:r w:rsidR="00025E6D" w:rsidRPr="008F29D5">
        <w:t>. The</w:t>
      </w:r>
      <w:r w:rsidRPr="008F29D5">
        <w:t xml:space="preserve"> </w:t>
      </w:r>
      <w:r w:rsidR="00550A64" w:rsidRPr="008F29D5">
        <w:t>long BSR MAC CE would require 6 bytes</w:t>
      </w:r>
      <w:r w:rsidR="006406DD" w:rsidRPr="008F29D5">
        <w:t xml:space="preserve"> considering 6 bits of buffer size field</w:t>
      </w:r>
      <w:r w:rsidR="00550A64" w:rsidRPr="008F29D5">
        <w:t>. Therefore, another dimension in enhancing the BSR format in NR is a variable</w:t>
      </w:r>
      <w:r w:rsidR="00742D03" w:rsidRPr="008F29D5">
        <w:t xml:space="preserve"> size</w:t>
      </w:r>
      <w:r w:rsidR="00550A64" w:rsidRPr="008F29D5">
        <w:t xml:space="preserve"> BSR format</w:t>
      </w:r>
      <w:r w:rsidRPr="008F29D5">
        <w:t>.</w:t>
      </w:r>
      <w:r w:rsidR="00025E6D" w:rsidRPr="008F29D5">
        <w:t xml:space="preserve"> </w:t>
      </w:r>
      <w:r w:rsidR="007C37FA" w:rsidRPr="008F29D5">
        <w:t>Since, it is already agreed that all MAC CEs in uplink are placed at the end of the MAC PDU, a variable size BSR format can be used.</w:t>
      </w:r>
    </w:p>
    <w:p w14:paraId="4D5E27E3" w14:textId="38E5738A" w:rsidR="007C37FA" w:rsidRPr="008F29D5" w:rsidRDefault="007C37FA" w:rsidP="007C37FA">
      <w:pPr>
        <w:pStyle w:val="Observationstyle"/>
      </w:pPr>
      <w:bookmarkStart w:id="48" w:name="_Toc489540566"/>
      <w:bookmarkStart w:id="49" w:name="_Toc489542067"/>
      <w:bookmarkStart w:id="50" w:name="_Toc489604595"/>
      <w:bookmarkStart w:id="51" w:name="_Toc490133548"/>
      <w:bookmarkStart w:id="52" w:name="_Toc490206781"/>
      <w:bookmarkStart w:id="53" w:name="_Toc490247170"/>
      <w:bookmarkStart w:id="54" w:name="_Toc490250759"/>
      <w:bookmarkStart w:id="55" w:name="_Toc490250860"/>
      <w:bookmarkStart w:id="56" w:name="_Toc494150880"/>
      <w:bookmarkStart w:id="57" w:name="_Toc494156308"/>
      <w:bookmarkStart w:id="58" w:name="_Toc494392109"/>
      <w:bookmarkStart w:id="59" w:name="_Toc494399506"/>
      <w:bookmarkStart w:id="60" w:name="_Toc494405378"/>
      <w:r w:rsidRPr="008F29D5">
        <w:t>Since all MAC CEs in uplink are placed at the end of the MAC PDU, a variable size BSR format is a viable option.</w:t>
      </w:r>
      <w:bookmarkEnd w:id="48"/>
      <w:bookmarkEnd w:id="49"/>
      <w:bookmarkEnd w:id="50"/>
      <w:bookmarkEnd w:id="51"/>
      <w:bookmarkEnd w:id="52"/>
      <w:bookmarkEnd w:id="53"/>
      <w:bookmarkEnd w:id="54"/>
      <w:bookmarkEnd w:id="55"/>
      <w:bookmarkEnd w:id="56"/>
      <w:bookmarkEnd w:id="57"/>
      <w:bookmarkEnd w:id="58"/>
      <w:bookmarkEnd w:id="59"/>
      <w:bookmarkEnd w:id="60"/>
    </w:p>
    <w:p w14:paraId="17381E02" w14:textId="292A0DBF" w:rsidR="00550A64" w:rsidRPr="008F29D5" w:rsidRDefault="00025E6D" w:rsidP="00550A64">
      <w:r w:rsidRPr="008F29D5">
        <w:t xml:space="preserve">With increased number of LCGs in order to be able to handle more services and feature such as PDCP duplication, the current approach of only short/truncated and long would imply extra overhead. For example, </w:t>
      </w:r>
      <w:proofErr w:type="spellStart"/>
      <w:r w:rsidRPr="008F29D5">
        <w:t>eMBB</w:t>
      </w:r>
      <w:proofErr w:type="spellEnd"/>
      <w:r w:rsidRPr="008F29D5">
        <w:t xml:space="preserve"> only service is still likely to be a very common case for which 3 or 4 LCGs may be sufficient. </w:t>
      </w:r>
      <w:r w:rsidR="006406DD" w:rsidRPr="008F29D5">
        <w:t xml:space="preserve">Variable BSR can report the buffer status of selective LCGs and it also </w:t>
      </w:r>
      <w:r w:rsidRPr="008F29D5">
        <w:t>reduces overhead</w:t>
      </w:r>
      <w:r w:rsidR="006406DD" w:rsidRPr="008F29D5">
        <w:t xml:space="preserve"> when doing so. Therefore, following BSR formats can be considered in NR.</w:t>
      </w:r>
    </w:p>
    <w:p w14:paraId="5C4A3C39" w14:textId="4861CB25" w:rsidR="006406DD" w:rsidRPr="008F29D5" w:rsidRDefault="006406DD" w:rsidP="006406DD">
      <w:pPr>
        <w:pStyle w:val="ListParagraph"/>
        <w:numPr>
          <w:ilvl w:val="0"/>
          <w:numId w:val="17"/>
        </w:numPr>
      </w:pPr>
      <w:r w:rsidRPr="008F29D5">
        <w:t>Short BSR (</w:t>
      </w:r>
      <w:r w:rsidR="00927224" w:rsidRPr="008F29D5">
        <w:t xml:space="preserve">report buffer status of a </w:t>
      </w:r>
      <w:r w:rsidR="005552CD" w:rsidRPr="008F29D5">
        <w:t xml:space="preserve">single </w:t>
      </w:r>
      <w:r w:rsidR="00927224" w:rsidRPr="008F29D5">
        <w:t>LCG</w:t>
      </w:r>
      <w:r w:rsidRPr="008F29D5">
        <w:t>)</w:t>
      </w:r>
    </w:p>
    <w:p w14:paraId="7B4A0D7A" w14:textId="55A492BF" w:rsidR="006406DD" w:rsidRPr="008F29D5" w:rsidRDefault="006406DD" w:rsidP="006406DD">
      <w:pPr>
        <w:pStyle w:val="ListParagraph"/>
        <w:numPr>
          <w:ilvl w:val="0"/>
          <w:numId w:val="17"/>
        </w:numPr>
      </w:pPr>
      <w:r w:rsidRPr="008F29D5">
        <w:t>Variable</w:t>
      </w:r>
      <w:r w:rsidR="007F5F40" w:rsidRPr="008F29D5">
        <w:t xml:space="preserve"> long</w:t>
      </w:r>
      <w:r w:rsidRPr="008F29D5">
        <w:t xml:space="preserve"> BSR</w:t>
      </w:r>
      <w:r w:rsidR="00927224" w:rsidRPr="008F29D5">
        <w:t xml:space="preserve"> (report buffer status of selective LCGs)</w:t>
      </w:r>
    </w:p>
    <w:p w14:paraId="1AD8E969" w14:textId="0E7F14C6" w:rsidR="00193B94" w:rsidRPr="008F29D5" w:rsidRDefault="00193B94" w:rsidP="006406DD">
      <w:pPr>
        <w:pStyle w:val="ListParagraph"/>
        <w:numPr>
          <w:ilvl w:val="0"/>
          <w:numId w:val="17"/>
        </w:numPr>
      </w:pPr>
      <w:r w:rsidRPr="008F29D5">
        <w:t>Truncated flexible BSR</w:t>
      </w:r>
    </w:p>
    <w:p w14:paraId="58421278" w14:textId="051CFF26" w:rsidR="002A6493" w:rsidRPr="008F29D5" w:rsidRDefault="006406DD" w:rsidP="00577EB2">
      <w:pPr>
        <w:pStyle w:val="Observationstyle"/>
        <w:rPr>
          <w:sz w:val="24"/>
        </w:rPr>
      </w:pPr>
      <w:bookmarkStart w:id="61" w:name="_Toc485111027"/>
      <w:bookmarkStart w:id="62" w:name="_Toc485112795"/>
      <w:bookmarkStart w:id="63" w:name="_Toc485204486"/>
      <w:bookmarkStart w:id="64" w:name="_Toc485407351"/>
      <w:bookmarkStart w:id="65" w:name="_Toc485410826"/>
      <w:bookmarkStart w:id="66" w:name="_Toc489537785"/>
      <w:bookmarkStart w:id="67" w:name="_Toc489540567"/>
      <w:bookmarkStart w:id="68" w:name="_Toc489542068"/>
      <w:bookmarkStart w:id="69" w:name="_Toc489604596"/>
      <w:bookmarkStart w:id="70" w:name="_Toc490133549"/>
      <w:bookmarkStart w:id="71" w:name="_Toc490206782"/>
      <w:bookmarkStart w:id="72" w:name="_Toc490247171"/>
      <w:bookmarkStart w:id="73" w:name="_Toc490250760"/>
      <w:bookmarkStart w:id="74" w:name="_Toc490250861"/>
      <w:bookmarkStart w:id="75" w:name="_Toc494150881"/>
      <w:bookmarkStart w:id="76" w:name="_Toc494156309"/>
      <w:bookmarkStart w:id="77" w:name="_Toc494392110"/>
      <w:bookmarkStart w:id="78" w:name="_Toc494399507"/>
      <w:bookmarkStart w:id="79" w:name="_Toc494405379"/>
      <w:r w:rsidRPr="008F29D5">
        <w:t xml:space="preserve">In NR, variable BSR may be helpful to </w:t>
      </w:r>
      <w:r w:rsidR="00025E6D" w:rsidRPr="008F29D5">
        <w:t>reduce overhead</w:t>
      </w:r>
      <w:r w:rsidRPr="008F29D5">
        <w:t xml:space="preserve"> in MAC PDU.</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002A6493" w:rsidRPr="008F29D5">
        <w:rPr>
          <w:sz w:val="24"/>
        </w:rPr>
        <w:t xml:space="preserve"> </w:t>
      </w:r>
    </w:p>
    <w:p w14:paraId="19FAF93A" w14:textId="7399CBDA" w:rsidR="007F5F40" w:rsidRPr="008F29D5" w:rsidRDefault="006756AE" w:rsidP="007F5F40">
      <w:pPr>
        <w:rPr>
          <w:b/>
        </w:rPr>
      </w:pPr>
      <w:r w:rsidRPr="008F29D5">
        <w:rPr>
          <w:b/>
        </w:rPr>
        <w:t xml:space="preserve">Short </w:t>
      </w:r>
      <w:r w:rsidR="007F5F40" w:rsidRPr="008F29D5">
        <w:rPr>
          <w:b/>
        </w:rPr>
        <w:t>BSR</w:t>
      </w:r>
    </w:p>
    <w:p w14:paraId="4C50E25B" w14:textId="62A182AA" w:rsidR="006756AE" w:rsidRPr="008F29D5" w:rsidRDefault="006756AE" w:rsidP="007F5F40">
      <w:r w:rsidRPr="008F29D5">
        <w:t>In the last RAN2 meeting, it is agreed that one byte short BSR is supported. This would mean the BS field size available in the short BSR is 5 bits. It is not efficient to define a new BS index table for 5 bit BS field size. Therefore, a mapping of existing BS index table can be used to report the 32 levels of BS values in the one byte short BSR.</w:t>
      </w:r>
      <w:r w:rsidR="00AD4330" w:rsidRPr="008F29D5">
        <w:t xml:space="preserve"> For example, on</w:t>
      </w:r>
      <w:r w:rsidR="00A72427" w:rsidRPr="008F29D5">
        <w:t>ly</w:t>
      </w:r>
      <w:r w:rsidR="00AD4330" w:rsidRPr="008F29D5">
        <w:t xml:space="preserve"> the odd or only the even index values can be used to get the 32 BS levels from the 64 BS levels. An offset can also be defined for mapping function </w:t>
      </w:r>
      <w:r w:rsidR="00AD4330" w:rsidRPr="00FC2941">
        <w:rPr>
          <w:i/>
        </w:rPr>
        <w:t>BS index modulo offset</w:t>
      </w:r>
      <w:r w:rsidR="00AD4330" w:rsidRPr="008F29D5">
        <w:t xml:space="preserve">. For example to map from the BSR level 256 to 32 BS level, we can use the offset = 8 as </w:t>
      </w:r>
      <w:r w:rsidR="00AD4330" w:rsidRPr="00FC2941">
        <w:rPr>
          <w:i/>
        </w:rPr>
        <w:t>new</w:t>
      </w:r>
      <w:r w:rsidR="00AD4330" w:rsidRPr="008F29D5">
        <w:t xml:space="preserve"> </w:t>
      </w:r>
      <w:r w:rsidR="00AD4330" w:rsidRPr="00FC2941">
        <w:rPr>
          <w:i/>
        </w:rPr>
        <w:t>BS index = BS index modulo 8</w:t>
      </w:r>
      <w:r w:rsidR="00AD4330" w:rsidRPr="008F29D5">
        <w:t>.</w:t>
      </w:r>
    </w:p>
    <w:p w14:paraId="23CB1922" w14:textId="7810CE7A" w:rsidR="006756AE" w:rsidRPr="008F29D5" w:rsidRDefault="006756AE" w:rsidP="00DC486E">
      <w:pPr>
        <w:pStyle w:val="Recommend-1"/>
      </w:pPr>
      <w:bookmarkStart w:id="80" w:name="_Toc494150884"/>
      <w:bookmarkStart w:id="81" w:name="_Toc494156313"/>
      <w:bookmarkStart w:id="82" w:name="_Toc494392114"/>
      <w:bookmarkStart w:id="83" w:name="_Toc494399511"/>
      <w:bookmarkStart w:id="84" w:name="_Toc494405372"/>
      <w:r w:rsidRPr="008F29D5">
        <w:t>The existing BS index table is mapped to 5 bit BS index table for one byte short BSR</w:t>
      </w:r>
      <w:bookmarkEnd w:id="80"/>
      <w:bookmarkEnd w:id="81"/>
      <w:r w:rsidR="00AD4330" w:rsidRPr="008F29D5">
        <w:t>. Details are FFS.</w:t>
      </w:r>
      <w:bookmarkEnd w:id="82"/>
      <w:bookmarkEnd w:id="83"/>
      <w:bookmarkEnd w:id="84"/>
    </w:p>
    <w:p w14:paraId="51AB24EE" w14:textId="0948F388" w:rsidR="007F5F40" w:rsidRPr="008F29D5" w:rsidRDefault="006756AE" w:rsidP="007F5F40">
      <w:pPr>
        <w:rPr>
          <w:b/>
        </w:rPr>
      </w:pPr>
      <w:r w:rsidRPr="008F29D5">
        <w:rPr>
          <w:b/>
        </w:rPr>
        <w:t>Variable long BSR</w:t>
      </w:r>
    </w:p>
    <w:p w14:paraId="11AE6939" w14:textId="2D0C62BD" w:rsidR="009507D9" w:rsidRPr="008F29D5" w:rsidRDefault="00A72CCC" w:rsidP="009507D9">
      <w:pPr>
        <w:keepNext/>
        <w:jc w:val="center"/>
      </w:pPr>
      <w:r w:rsidRPr="008F29D5">
        <w:object w:dxaOrig="8731" w:dyaOrig="3766" w14:anchorId="4E933D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19pt" o:ole="">
            <v:imagedata r:id="rId10" o:title=""/>
          </v:shape>
          <o:OLEObject Type="Embed" ProgID="Visio.Drawing.15" ShapeID="_x0000_i1025" DrawAspect="Content" ObjectID="_1568147275" r:id="rId11"/>
        </w:object>
      </w:r>
    </w:p>
    <w:p w14:paraId="22BAF948" w14:textId="4A2B74F3" w:rsidR="002A6493" w:rsidRPr="008F29D5" w:rsidRDefault="009507D9" w:rsidP="009507D9">
      <w:pPr>
        <w:pStyle w:val="Caption"/>
        <w:jc w:val="center"/>
        <w:rPr>
          <w:color w:val="auto"/>
          <w:sz w:val="24"/>
        </w:rPr>
      </w:pPr>
      <w:r w:rsidRPr="008F29D5">
        <w:rPr>
          <w:color w:val="auto"/>
        </w:rPr>
        <w:t xml:space="preserve">Figure </w:t>
      </w:r>
      <w:r w:rsidR="007654DC" w:rsidRPr="008F29D5">
        <w:rPr>
          <w:color w:val="auto"/>
        </w:rPr>
        <w:fldChar w:fldCharType="begin"/>
      </w:r>
      <w:r w:rsidR="007654DC" w:rsidRPr="008F29D5">
        <w:rPr>
          <w:color w:val="auto"/>
        </w:rPr>
        <w:instrText xml:space="preserve"> SEQ Figure \* ARABIC </w:instrText>
      </w:r>
      <w:r w:rsidR="007654DC" w:rsidRPr="008F29D5">
        <w:rPr>
          <w:color w:val="auto"/>
        </w:rPr>
        <w:fldChar w:fldCharType="separate"/>
      </w:r>
      <w:r w:rsidRPr="008F29D5">
        <w:rPr>
          <w:noProof/>
          <w:color w:val="auto"/>
        </w:rPr>
        <w:t>1</w:t>
      </w:r>
      <w:r w:rsidR="007654DC" w:rsidRPr="008F29D5">
        <w:rPr>
          <w:noProof/>
          <w:color w:val="auto"/>
        </w:rPr>
        <w:fldChar w:fldCharType="end"/>
      </w:r>
      <w:r w:rsidRPr="008F29D5">
        <w:rPr>
          <w:color w:val="auto"/>
        </w:rPr>
        <w:t xml:space="preserve"> </w:t>
      </w:r>
      <w:proofErr w:type="gramStart"/>
      <w:r w:rsidRPr="008F29D5">
        <w:rPr>
          <w:color w:val="auto"/>
        </w:rPr>
        <w:t>An</w:t>
      </w:r>
      <w:proofErr w:type="gramEnd"/>
      <w:r w:rsidRPr="008F29D5">
        <w:rPr>
          <w:color w:val="auto"/>
        </w:rPr>
        <w:t xml:space="preserve"> example of variable BSR MAC CE format</w:t>
      </w:r>
    </w:p>
    <w:p w14:paraId="0972DE1C" w14:textId="695EFB55" w:rsidR="00027AB0" w:rsidRPr="008F29D5" w:rsidRDefault="00027AB0" w:rsidP="00027AB0">
      <w:r w:rsidRPr="008F29D5">
        <w:t>An example of variable</w:t>
      </w:r>
      <w:r w:rsidR="00742D03" w:rsidRPr="008F29D5">
        <w:t xml:space="preserve"> </w:t>
      </w:r>
      <w:r w:rsidR="00A97D81">
        <w:t>long</w:t>
      </w:r>
      <w:r w:rsidRPr="008F29D5">
        <w:t xml:space="preserve"> BSR format is shown in figure 1 where buffer status of LCG 0, 3, 4 and 7 are being reported. The first byte in the BSR MAC CE is used as bitmap indicator which indicates which LCG IDs are included in the BSR.</w:t>
      </w:r>
      <w:r w:rsidR="006756AE" w:rsidRPr="008F29D5">
        <w:t xml:space="preserve"> The bitmap indicator also determines the size of the MAC CE which would mean the length field in the MAC </w:t>
      </w:r>
      <w:proofErr w:type="spellStart"/>
      <w:r w:rsidR="006756AE" w:rsidRPr="008F29D5">
        <w:t>subheader</w:t>
      </w:r>
      <w:proofErr w:type="spellEnd"/>
      <w:r w:rsidR="006756AE" w:rsidRPr="008F29D5">
        <w:t xml:space="preserve"> is not needed.</w:t>
      </w:r>
      <w:r w:rsidRPr="008F29D5">
        <w:t xml:space="preserve"> </w:t>
      </w:r>
      <w:r w:rsidR="00302914" w:rsidRPr="008F29D5">
        <w:t>The</w:t>
      </w:r>
      <w:r w:rsidR="00A72CCC" w:rsidRPr="008F29D5">
        <w:t xml:space="preserve"> maximum size</w:t>
      </w:r>
      <w:r w:rsidR="00302914" w:rsidRPr="008F29D5">
        <w:t xml:space="preserve"> of the BSR MAC CE in this format</w:t>
      </w:r>
      <w:r w:rsidR="00A72CCC" w:rsidRPr="008F29D5">
        <w:t xml:space="preserve"> is 7 bytes to report all 8 LCGs.</w:t>
      </w:r>
      <w:r w:rsidRPr="008F29D5">
        <w:t xml:space="preserve"> It can also be possible that the use of variable</w:t>
      </w:r>
      <w:r w:rsidR="00742D03" w:rsidRPr="008F29D5">
        <w:t xml:space="preserve"> size</w:t>
      </w:r>
      <w:r w:rsidRPr="008F29D5">
        <w:t xml:space="preserve"> BSR format can be based on UE implementation. If there is enough space available after LCP, long BSR can still be used even not all LCGs have data to transmit. </w:t>
      </w:r>
    </w:p>
    <w:p w14:paraId="16A718DE" w14:textId="688D6133" w:rsidR="00572814" w:rsidRPr="008F29D5" w:rsidRDefault="000C02CA" w:rsidP="00027AB0">
      <w:pPr>
        <w:pStyle w:val="Recommend-1"/>
      </w:pPr>
      <w:bookmarkStart w:id="85" w:name="_Toc485204490"/>
      <w:bookmarkStart w:id="86" w:name="_Toc485407355"/>
      <w:bookmarkStart w:id="87" w:name="_Toc485407361"/>
      <w:bookmarkStart w:id="88" w:name="_Toc485410831"/>
      <w:bookmarkStart w:id="89" w:name="_Toc489537782"/>
      <w:bookmarkStart w:id="90" w:name="_Toc489540551"/>
      <w:bookmarkStart w:id="91" w:name="_Toc489540571"/>
      <w:bookmarkStart w:id="92" w:name="_Toc489542062"/>
      <w:bookmarkStart w:id="93" w:name="_Toc489550759"/>
      <w:bookmarkStart w:id="94" w:name="_Toc489604607"/>
      <w:bookmarkStart w:id="95" w:name="_Toc489695309"/>
      <w:bookmarkStart w:id="96" w:name="_Toc490133553"/>
      <w:bookmarkStart w:id="97" w:name="_Toc490206786"/>
      <w:bookmarkStart w:id="98" w:name="_Toc490247175"/>
      <w:bookmarkStart w:id="99" w:name="_Toc490250764"/>
      <w:bookmarkStart w:id="100" w:name="_Toc490250865"/>
      <w:bookmarkStart w:id="101" w:name="_Toc494150885"/>
      <w:bookmarkStart w:id="102" w:name="_Toc494156314"/>
      <w:bookmarkStart w:id="103" w:name="_Toc494392115"/>
      <w:bookmarkStart w:id="104" w:name="_Toc494399512"/>
      <w:bookmarkStart w:id="105" w:name="_Toc494405373"/>
      <w:r w:rsidRPr="008F29D5">
        <w:t>A variable</w:t>
      </w:r>
      <w:r w:rsidR="00742D03" w:rsidRPr="008F29D5">
        <w:t xml:space="preserve"> </w:t>
      </w:r>
      <w:r w:rsidR="00A97D81">
        <w:t>long</w:t>
      </w:r>
      <w:r w:rsidRPr="008F29D5">
        <w:t xml:space="preserve"> BSR format includes 1 byte bitmap indicator at the beginning to indicate which LCGs are being reported.</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EB35D01" w14:textId="36DF4E7C" w:rsidR="006756AE" w:rsidRPr="008F29D5" w:rsidRDefault="006756AE" w:rsidP="00DC486E">
      <w:pPr>
        <w:rPr>
          <w:b/>
        </w:rPr>
      </w:pPr>
      <w:r w:rsidRPr="008F29D5">
        <w:rPr>
          <w:b/>
        </w:rPr>
        <w:t>Truncated variable BSR</w:t>
      </w:r>
    </w:p>
    <w:p w14:paraId="5203DCD5" w14:textId="0BCE6426" w:rsidR="006756AE" w:rsidRPr="008F29D5" w:rsidRDefault="006756AE" w:rsidP="00DC486E">
      <w:r w:rsidRPr="008F29D5">
        <w:t xml:space="preserve">A variable BSR format can report BSR of just one LCG or </w:t>
      </w:r>
      <w:r w:rsidR="00AD4330" w:rsidRPr="008F29D5">
        <w:t>more than one</w:t>
      </w:r>
      <w:r w:rsidRPr="008F29D5">
        <w:t xml:space="preserve"> LCGs. Therefore, a new LCID can be defined to indicate the truncated variable BSR. </w:t>
      </w:r>
      <w:r w:rsidR="008D015B" w:rsidRPr="008F29D5">
        <w:t xml:space="preserve">For a padding BSR, it is possible that the </w:t>
      </w:r>
      <w:r w:rsidR="008D015B" w:rsidRPr="008F29D5">
        <w:rPr>
          <w:noProof/>
        </w:rPr>
        <w:t xml:space="preserve">number of padding bits is equal to or larger than the size of fixed size </w:t>
      </w:r>
      <w:r w:rsidR="007654DC">
        <w:rPr>
          <w:noProof/>
        </w:rPr>
        <w:t>t</w:t>
      </w:r>
      <w:r w:rsidR="008D015B" w:rsidRPr="008F29D5">
        <w:rPr>
          <w:noProof/>
        </w:rPr>
        <w:t xml:space="preserve">runcated BSR plus its subheader but smaller than the size of the </w:t>
      </w:r>
      <w:r w:rsidR="007654DC">
        <w:rPr>
          <w:noProof/>
        </w:rPr>
        <w:t>v</w:t>
      </w:r>
      <w:r w:rsidR="008D015B" w:rsidRPr="008F29D5">
        <w:rPr>
          <w:noProof/>
        </w:rPr>
        <w:t xml:space="preserve">ariable </w:t>
      </w:r>
      <w:r w:rsidR="007654DC">
        <w:rPr>
          <w:noProof/>
        </w:rPr>
        <w:t>l</w:t>
      </w:r>
      <w:r w:rsidR="008D015B" w:rsidRPr="008F29D5">
        <w:rPr>
          <w:noProof/>
        </w:rPr>
        <w:t xml:space="preserve">ong BSR plus its subheader. Therefore it is necessary to introduce a </w:t>
      </w:r>
      <w:r w:rsidR="007654DC">
        <w:rPr>
          <w:noProof/>
        </w:rPr>
        <w:t>t</w:t>
      </w:r>
      <w:r w:rsidR="008D015B" w:rsidRPr="008F29D5">
        <w:rPr>
          <w:noProof/>
        </w:rPr>
        <w:t xml:space="preserve">runcated </w:t>
      </w:r>
      <w:r w:rsidR="007654DC">
        <w:rPr>
          <w:noProof/>
        </w:rPr>
        <w:t>v</w:t>
      </w:r>
      <w:r w:rsidR="008D015B" w:rsidRPr="008F29D5">
        <w:rPr>
          <w:noProof/>
        </w:rPr>
        <w:t xml:space="preserve">ariable BSR format which can indicate more than one LCGs. The format of </w:t>
      </w:r>
      <w:r w:rsidR="007654DC">
        <w:rPr>
          <w:noProof/>
        </w:rPr>
        <w:t>t</w:t>
      </w:r>
      <w:r w:rsidR="008D015B" w:rsidRPr="008F29D5">
        <w:rPr>
          <w:noProof/>
        </w:rPr>
        <w:t xml:space="preserve">runcated </w:t>
      </w:r>
      <w:r w:rsidR="007654DC">
        <w:rPr>
          <w:noProof/>
        </w:rPr>
        <w:t>v</w:t>
      </w:r>
      <w:r w:rsidR="008D015B" w:rsidRPr="008F29D5">
        <w:rPr>
          <w:noProof/>
        </w:rPr>
        <w:t xml:space="preserve">ariable BSR is the same as </w:t>
      </w:r>
      <w:r w:rsidR="007654DC">
        <w:rPr>
          <w:noProof/>
        </w:rPr>
        <w:t>v</w:t>
      </w:r>
      <w:r w:rsidR="008D015B" w:rsidRPr="008F29D5">
        <w:rPr>
          <w:noProof/>
        </w:rPr>
        <w:t xml:space="preserve">ariable </w:t>
      </w:r>
      <w:r w:rsidR="007654DC">
        <w:rPr>
          <w:noProof/>
        </w:rPr>
        <w:t>l</w:t>
      </w:r>
      <w:r w:rsidR="008D015B" w:rsidRPr="008F29D5">
        <w:rPr>
          <w:noProof/>
        </w:rPr>
        <w:t xml:space="preserve">ong BSR, with the difference that for </w:t>
      </w:r>
      <w:r w:rsidR="007654DC">
        <w:rPr>
          <w:noProof/>
        </w:rPr>
        <w:t>t</w:t>
      </w:r>
      <w:r w:rsidR="008D015B" w:rsidRPr="008F29D5">
        <w:rPr>
          <w:noProof/>
        </w:rPr>
        <w:t xml:space="preserve">runcated </w:t>
      </w:r>
      <w:r w:rsidR="007654DC">
        <w:rPr>
          <w:noProof/>
        </w:rPr>
        <w:t>v</w:t>
      </w:r>
      <w:r w:rsidR="008D015B" w:rsidRPr="008F29D5">
        <w:rPr>
          <w:noProof/>
        </w:rPr>
        <w:t xml:space="preserve">ariable BSR, there could be data avaialbe for LCGs which are not reported. </w:t>
      </w:r>
      <w:r w:rsidR="00DC486E" w:rsidRPr="008F29D5">
        <w:t>For this reason, a new truncated short BSR may not need to be defined.</w:t>
      </w:r>
    </w:p>
    <w:p w14:paraId="47B277C7" w14:textId="11E050C3" w:rsidR="006756AE" w:rsidRPr="008F29D5" w:rsidRDefault="006756AE" w:rsidP="00DC486E">
      <w:pPr>
        <w:pStyle w:val="Recommend-1"/>
      </w:pPr>
      <w:bookmarkStart w:id="106" w:name="_Toc494150886"/>
      <w:bookmarkStart w:id="107" w:name="_Toc494156315"/>
      <w:bookmarkStart w:id="108" w:name="_Toc494392116"/>
      <w:bookmarkStart w:id="109" w:name="_Toc494399513"/>
      <w:bookmarkStart w:id="110" w:name="_Toc494405374"/>
      <w:r w:rsidRPr="008F29D5">
        <w:t>A truncated variable BSR format is supported in NR.</w:t>
      </w:r>
      <w:bookmarkEnd w:id="106"/>
      <w:bookmarkEnd w:id="107"/>
      <w:bookmarkEnd w:id="108"/>
      <w:bookmarkEnd w:id="109"/>
      <w:bookmarkEnd w:id="110"/>
    </w:p>
    <w:p w14:paraId="5696E89A" w14:textId="2154425B" w:rsidR="00DC157A" w:rsidRPr="008F29D5" w:rsidRDefault="00DC157A" w:rsidP="00DC157A">
      <w:pPr>
        <w:pStyle w:val="Heading3"/>
        <w:ind w:left="720"/>
      </w:pPr>
      <w:r w:rsidRPr="008F29D5">
        <w:t xml:space="preserve">BSR </w:t>
      </w:r>
      <w:r w:rsidR="00E07216" w:rsidRPr="008F29D5">
        <w:t>cancellation</w:t>
      </w:r>
    </w:p>
    <w:p w14:paraId="38825149" w14:textId="6101D7FF" w:rsidR="00E07216" w:rsidRPr="008F29D5" w:rsidRDefault="00E07216" w:rsidP="00E07216">
      <w:pPr>
        <w:rPr>
          <w:lang w:val="en-GB" w:eastAsia="x-none"/>
        </w:rPr>
      </w:pPr>
      <w:r w:rsidRPr="008F29D5">
        <w:rPr>
          <w:lang w:val="en-GB" w:eastAsia="x-none"/>
        </w:rPr>
        <w:t>In the LTE specification TS 36.321, following condition is specified for the BSR cancellation.</w:t>
      </w:r>
    </w:p>
    <w:p w14:paraId="4843D68B" w14:textId="545BBC3B" w:rsidR="00E07216" w:rsidRPr="008F29D5" w:rsidRDefault="00E07216" w:rsidP="00E07216">
      <w:pPr>
        <w:rPr>
          <w:i/>
        </w:rPr>
      </w:pPr>
      <w:r w:rsidRPr="008F29D5">
        <w:rPr>
          <w:i/>
          <w:noProof/>
        </w:rPr>
        <w:t xml:space="preserve">“All triggered BSRs shall be cancelled in case the UL grant(s) in this </w:t>
      </w:r>
      <w:r w:rsidRPr="008F29D5">
        <w:rPr>
          <w:i/>
        </w:rPr>
        <w:t xml:space="preserve">TTI </w:t>
      </w:r>
      <w:r w:rsidRPr="008F29D5">
        <w:rPr>
          <w:i/>
          <w:noProof/>
        </w:rPr>
        <w:t xml:space="preserve">can accommodate all pending data available for transmission but is not sufficient to additionally accommodate the BSR MAC control element plus its subheader. </w:t>
      </w:r>
      <w:r w:rsidRPr="008F29D5">
        <w:rPr>
          <w:i/>
        </w:rPr>
        <w:t>All triggered BSRs shall be cancelled when a BSR is included in a MAC PDU for transmission.”</w:t>
      </w:r>
    </w:p>
    <w:p w14:paraId="2BBAC7C0" w14:textId="7E4E5626" w:rsidR="00E07216" w:rsidRPr="008F29D5" w:rsidRDefault="00E07216" w:rsidP="00E07216">
      <w:pPr>
        <w:rPr>
          <w:lang w:val="en-GB" w:eastAsia="x-none"/>
        </w:rPr>
      </w:pPr>
      <w:r w:rsidRPr="008F29D5">
        <w:rPr>
          <w:lang w:val="en-GB" w:eastAsia="x-none"/>
        </w:rPr>
        <w:t xml:space="preserve">In NR, same BSR cancellation condition can be considered. In case, MAC entity has multiple MAC PDUs to transmit in the same TTI, at most one regular/periodic BSR which reflects the buffer status after all the MAC PDUs have been built for this TTI needs to be transmitted. </w:t>
      </w:r>
    </w:p>
    <w:p w14:paraId="4D4DCCC5" w14:textId="6DDAFE60" w:rsidR="007C37FA" w:rsidRPr="008F29D5" w:rsidRDefault="007C37FA" w:rsidP="00E07216">
      <w:pPr>
        <w:pStyle w:val="Recommend-1"/>
        <w:rPr>
          <w:lang w:val="en-GB"/>
        </w:rPr>
      </w:pPr>
      <w:bookmarkStart w:id="111" w:name="_Toc489540552"/>
      <w:bookmarkStart w:id="112" w:name="_Toc489540572"/>
      <w:bookmarkStart w:id="113" w:name="_Toc489542063"/>
      <w:bookmarkStart w:id="114" w:name="_Toc489550760"/>
      <w:bookmarkStart w:id="115" w:name="_Toc489604608"/>
      <w:bookmarkStart w:id="116" w:name="_Toc489695310"/>
      <w:bookmarkStart w:id="117" w:name="_Toc490133554"/>
      <w:bookmarkStart w:id="118" w:name="_Toc490206787"/>
      <w:bookmarkStart w:id="119" w:name="_Toc490247176"/>
      <w:bookmarkStart w:id="120" w:name="_Toc490250765"/>
      <w:bookmarkStart w:id="121" w:name="_Toc490250866"/>
      <w:bookmarkStart w:id="122" w:name="_Toc494150887"/>
      <w:bookmarkStart w:id="123" w:name="_Toc494156316"/>
      <w:bookmarkStart w:id="124" w:name="_Toc494392117"/>
      <w:bookmarkStart w:id="125" w:name="_Toc494399514"/>
      <w:bookmarkStart w:id="126" w:name="_Toc489537783"/>
      <w:bookmarkStart w:id="127" w:name="_Toc494405375"/>
      <w:r w:rsidRPr="008F29D5">
        <w:rPr>
          <w:lang w:val="en-GB"/>
        </w:rPr>
        <w:t>BSR cancellation condition is LTE baseline.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7"/>
    </w:p>
    <w:bookmarkEnd w:id="126"/>
    <w:p w14:paraId="5F8C001A" w14:textId="25103E10" w:rsidR="00E07216" w:rsidRPr="008F29D5" w:rsidRDefault="00E07216" w:rsidP="00E07216">
      <w:pPr>
        <w:pStyle w:val="Heading3Style"/>
      </w:pPr>
      <w:r w:rsidRPr="008F29D5">
        <w:t>BSR field size</w:t>
      </w:r>
    </w:p>
    <w:p w14:paraId="7CB58341" w14:textId="0CEF6597" w:rsidR="00E07216" w:rsidRPr="008F29D5" w:rsidRDefault="00124FDA" w:rsidP="00E07216">
      <w:r w:rsidRPr="008F29D5">
        <w:t>In LTE, a BSR field size is set to 6 bits. There are two normal and extended BSR index tables defined to report the estimated BSR using 6 bits BSR size. The normal BSR index table can report the data volume of 150 Kbyte to achieve the peak UL data rate of 75Mbps [</w:t>
      </w:r>
      <w:r w:rsidR="00EF122C" w:rsidRPr="008F29D5">
        <w:t>3, 4</w:t>
      </w:r>
      <w:r w:rsidRPr="008F29D5">
        <w:t xml:space="preserve">]. The extended BSR index table can report the data volume of 3 Mbyte to achieve 1.5 </w:t>
      </w:r>
      <w:proofErr w:type="spellStart"/>
      <w:r w:rsidRPr="008F29D5">
        <w:t>Gbps</w:t>
      </w:r>
      <w:proofErr w:type="spellEnd"/>
      <w:r w:rsidRPr="008F29D5">
        <w:t xml:space="preserve"> peak UL data rate. This calculation was done considering the TTI duration of 1 </w:t>
      </w:r>
      <w:proofErr w:type="spellStart"/>
      <w:r w:rsidRPr="008F29D5">
        <w:t>ms</w:t>
      </w:r>
      <w:proofErr w:type="spellEnd"/>
      <w:r w:rsidRPr="008F29D5">
        <w:t xml:space="preserve"> and maximum response time of 16ms (i.e., 2RTT).</w:t>
      </w:r>
    </w:p>
    <w:p w14:paraId="437B08A4" w14:textId="482A3893" w:rsidR="00124FDA" w:rsidRPr="008F29D5" w:rsidRDefault="00124FDA" w:rsidP="00E07216">
      <w:r w:rsidRPr="008F29D5">
        <w:lastRenderedPageBreak/>
        <w:t xml:space="preserve">In NR, the target UL peak data rate is 10 </w:t>
      </w:r>
      <w:proofErr w:type="spellStart"/>
      <w:r w:rsidRPr="008F29D5">
        <w:t>Gbps</w:t>
      </w:r>
      <w:proofErr w:type="spellEnd"/>
      <w:r w:rsidRPr="008F29D5">
        <w:t xml:space="preserve">. However, NR supports multiple numerology/TTI, peak UL data rate </w:t>
      </w:r>
      <w:r w:rsidR="00342E47" w:rsidRPr="008F29D5">
        <w:t xml:space="preserve">that </w:t>
      </w:r>
      <w:r w:rsidRPr="008F29D5">
        <w:t xml:space="preserve">can be realized </w:t>
      </w:r>
      <w:r w:rsidR="00342E47" w:rsidRPr="008F29D5">
        <w:t>depends on the</w:t>
      </w:r>
      <w:r w:rsidRPr="008F29D5">
        <w:t xml:space="preserve"> SCS and TTI</w:t>
      </w:r>
      <w:r w:rsidR="00342E47" w:rsidRPr="008F29D5">
        <w:t xml:space="preserve"> duration</w:t>
      </w:r>
      <w:r w:rsidRPr="008F29D5">
        <w:t>. Although, RAN1 has not agreed on the maximum TBS size in NR, at SCS of</w:t>
      </w:r>
      <w:r w:rsidR="006A4A76" w:rsidRPr="008F29D5">
        <w:t xml:space="preserve"> 12</w:t>
      </w:r>
      <w:r w:rsidRPr="008F29D5">
        <w:t>0</w:t>
      </w:r>
      <w:r w:rsidR="006A4A76" w:rsidRPr="008F29D5">
        <w:t xml:space="preserve"> </w:t>
      </w:r>
      <w:r w:rsidRPr="008F29D5">
        <w:t xml:space="preserve">KHz and time slot </w:t>
      </w:r>
      <w:r w:rsidR="006A4A76" w:rsidRPr="008F29D5">
        <w:t xml:space="preserve">duration </w:t>
      </w:r>
      <w:r w:rsidRPr="008F29D5">
        <w:t>of 0.125</w:t>
      </w:r>
      <w:r w:rsidR="006A4A76" w:rsidRPr="008F29D5">
        <w:t>m</w:t>
      </w:r>
      <w:r w:rsidRPr="008F29D5">
        <w:t>s</w:t>
      </w:r>
      <w:r w:rsidR="006A4A76" w:rsidRPr="008F29D5">
        <w:t xml:space="preserve"> or TTI duration of 0.125ms</w:t>
      </w:r>
      <w:r w:rsidRPr="008F29D5">
        <w:t xml:space="preserve">, </w:t>
      </w:r>
      <w:r w:rsidR="00F04592" w:rsidRPr="008F29D5">
        <w:t>maximum data volume (</w:t>
      </w:r>
      <w:proofErr w:type="spellStart"/>
      <w:r w:rsidR="00F04592" w:rsidRPr="008F29D5">
        <w:t>Bmax</w:t>
      </w:r>
      <w:proofErr w:type="spellEnd"/>
      <w:r w:rsidR="00F04592" w:rsidRPr="008F29D5">
        <w:t>)</w:t>
      </w:r>
      <w:r w:rsidRPr="008F29D5">
        <w:t xml:space="preserve"> of 3 Mbyte from extended BSR index table is sufficient to achieve the 10 </w:t>
      </w:r>
      <w:proofErr w:type="spellStart"/>
      <w:r w:rsidRPr="008F29D5">
        <w:t>Gbps</w:t>
      </w:r>
      <w:proofErr w:type="spellEnd"/>
      <w:r w:rsidRPr="008F29D5">
        <w:t xml:space="preserve"> of UL peak data rate as given in the table below.</w:t>
      </w:r>
    </w:p>
    <w:tbl>
      <w:tblPr>
        <w:tblStyle w:val="GridTable4-Accent5"/>
        <w:tblW w:w="5415" w:type="dxa"/>
        <w:jc w:val="center"/>
        <w:tblLayout w:type="fixed"/>
        <w:tblLook w:val="04A0" w:firstRow="1" w:lastRow="0" w:firstColumn="1" w:lastColumn="0" w:noHBand="0" w:noVBand="1"/>
      </w:tblPr>
      <w:tblGrid>
        <w:gridCol w:w="1805"/>
        <w:gridCol w:w="2150"/>
        <w:gridCol w:w="1460"/>
      </w:tblGrid>
      <w:tr w:rsidR="008F29D5" w:rsidRPr="008F29D5" w14:paraId="020ED60D" w14:textId="77777777" w:rsidTr="0002587F">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805" w:type="dxa"/>
            <w:noWrap/>
            <w:hideMark/>
          </w:tcPr>
          <w:p w14:paraId="0AAEC60E" w14:textId="77777777" w:rsidR="00124FDA" w:rsidRPr="008F29D5" w:rsidRDefault="00124FDA" w:rsidP="00124FDA">
            <w:pPr>
              <w:spacing w:after="0"/>
              <w:rPr>
                <w:color w:val="auto"/>
              </w:rPr>
            </w:pPr>
            <w:r w:rsidRPr="008F29D5">
              <w:rPr>
                <w:color w:val="auto"/>
              </w:rPr>
              <w:t>Data Rate (</w:t>
            </w:r>
            <w:proofErr w:type="spellStart"/>
            <w:r w:rsidRPr="008F29D5">
              <w:rPr>
                <w:color w:val="auto"/>
              </w:rPr>
              <w:t>Gbps</w:t>
            </w:r>
            <w:proofErr w:type="spellEnd"/>
            <w:r w:rsidRPr="008F29D5">
              <w:rPr>
                <w:color w:val="auto"/>
              </w:rPr>
              <w:t>)</w:t>
            </w:r>
          </w:p>
        </w:tc>
        <w:tc>
          <w:tcPr>
            <w:tcW w:w="2150" w:type="dxa"/>
            <w:noWrap/>
            <w:hideMark/>
          </w:tcPr>
          <w:p w14:paraId="6DF0B95D" w14:textId="0BA3B147" w:rsidR="00124FDA" w:rsidRPr="008F29D5" w:rsidRDefault="0002587F" w:rsidP="00124FDA">
            <w:pPr>
              <w:spacing w:after="0"/>
              <w:cnfStyle w:val="100000000000" w:firstRow="1" w:lastRow="0" w:firstColumn="0" w:lastColumn="0" w:oddVBand="0" w:evenVBand="0" w:oddHBand="0" w:evenHBand="0" w:firstRowFirstColumn="0" w:firstRowLastColumn="0" w:lastRowFirstColumn="0" w:lastRowLastColumn="0"/>
              <w:rPr>
                <w:color w:val="auto"/>
              </w:rPr>
            </w:pPr>
            <w:r w:rsidRPr="008F29D5">
              <w:rPr>
                <w:color w:val="auto"/>
              </w:rPr>
              <w:t xml:space="preserve">Max response time </w:t>
            </w:r>
            <w:r w:rsidR="00124FDA" w:rsidRPr="008F29D5">
              <w:rPr>
                <w:color w:val="auto"/>
              </w:rPr>
              <w:t>2*RTT (</w:t>
            </w:r>
            <w:proofErr w:type="spellStart"/>
            <w:r w:rsidR="00124FDA" w:rsidRPr="008F29D5">
              <w:rPr>
                <w:color w:val="auto"/>
              </w:rPr>
              <w:t>ms</w:t>
            </w:r>
            <w:proofErr w:type="spellEnd"/>
            <w:r w:rsidR="00124FDA" w:rsidRPr="008F29D5">
              <w:rPr>
                <w:color w:val="auto"/>
              </w:rPr>
              <w:t>)</w:t>
            </w:r>
          </w:p>
        </w:tc>
        <w:tc>
          <w:tcPr>
            <w:tcW w:w="1460" w:type="dxa"/>
            <w:noWrap/>
            <w:hideMark/>
          </w:tcPr>
          <w:p w14:paraId="4704110C" w14:textId="69B5416D" w:rsidR="00124FDA" w:rsidRPr="008F29D5" w:rsidRDefault="00124FDA" w:rsidP="00124FDA">
            <w:pPr>
              <w:spacing w:after="0"/>
              <w:cnfStyle w:val="100000000000" w:firstRow="1" w:lastRow="0" w:firstColumn="0" w:lastColumn="0" w:oddVBand="0" w:evenVBand="0" w:oddHBand="0" w:evenHBand="0" w:firstRowFirstColumn="0" w:firstRowLastColumn="0" w:lastRowFirstColumn="0" w:lastRowLastColumn="0"/>
              <w:rPr>
                <w:color w:val="auto"/>
              </w:rPr>
            </w:pPr>
            <w:proofErr w:type="spellStart"/>
            <w:r w:rsidRPr="008F29D5">
              <w:rPr>
                <w:color w:val="auto"/>
              </w:rPr>
              <w:t>Bmax</w:t>
            </w:r>
            <w:proofErr w:type="spellEnd"/>
            <w:r w:rsidRPr="008F29D5">
              <w:rPr>
                <w:color w:val="auto"/>
              </w:rPr>
              <w:t xml:space="preserve"> (Kbyte)</w:t>
            </w:r>
          </w:p>
        </w:tc>
      </w:tr>
      <w:tr w:rsidR="008F29D5" w:rsidRPr="008F29D5" w14:paraId="0C9AB0A8" w14:textId="77777777" w:rsidTr="0002587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805" w:type="dxa"/>
            <w:shd w:val="clear" w:color="auto" w:fill="A8D08D" w:themeFill="accent6" w:themeFillTint="99"/>
            <w:noWrap/>
            <w:hideMark/>
          </w:tcPr>
          <w:p w14:paraId="0E36584A" w14:textId="77777777" w:rsidR="00124FDA" w:rsidRPr="008F29D5" w:rsidRDefault="00124FDA" w:rsidP="00124FDA">
            <w:pPr>
              <w:spacing w:after="0"/>
              <w:jc w:val="center"/>
            </w:pPr>
            <w:r w:rsidRPr="008F29D5">
              <w:t>10</w:t>
            </w:r>
          </w:p>
        </w:tc>
        <w:tc>
          <w:tcPr>
            <w:tcW w:w="2150" w:type="dxa"/>
            <w:shd w:val="clear" w:color="auto" w:fill="A8D08D" w:themeFill="accent6" w:themeFillTint="99"/>
            <w:noWrap/>
            <w:hideMark/>
          </w:tcPr>
          <w:p w14:paraId="55E5BEC3" w14:textId="5197B1F8" w:rsidR="00124FDA" w:rsidRPr="008F29D5" w:rsidRDefault="00124FDA" w:rsidP="0002587F">
            <w:pPr>
              <w:spacing w:after="0"/>
              <w:jc w:val="center"/>
              <w:cnfStyle w:val="000000100000" w:firstRow="0" w:lastRow="0" w:firstColumn="0" w:lastColumn="0" w:oddVBand="0" w:evenVBand="0" w:oddHBand="1" w:evenHBand="0" w:firstRowFirstColumn="0" w:firstRowLastColumn="0" w:lastRowFirstColumn="0" w:lastRowLastColumn="0"/>
            </w:pPr>
            <w:r w:rsidRPr="008F29D5">
              <w:t>2</w:t>
            </w:r>
            <w:r w:rsidR="00F67168" w:rsidRPr="008F29D5">
              <w:t xml:space="preserve"> </w:t>
            </w:r>
          </w:p>
        </w:tc>
        <w:tc>
          <w:tcPr>
            <w:tcW w:w="1460" w:type="dxa"/>
            <w:shd w:val="clear" w:color="auto" w:fill="A8D08D" w:themeFill="accent6" w:themeFillTint="99"/>
            <w:noWrap/>
            <w:hideMark/>
          </w:tcPr>
          <w:p w14:paraId="69D4324D" w14:textId="77777777" w:rsidR="00124FDA" w:rsidRPr="008F29D5" w:rsidRDefault="00124FDA" w:rsidP="00124FDA">
            <w:pPr>
              <w:spacing w:after="0"/>
              <w:jc w:val="center"/>
              <w:cnfStyle w:val="000000100000" w:firstRow="0" w:lastRow="0" w:firstColumn="0" w:lastColumn="0" w:oddVBand="0" w:evenVBand="0" w:oddHBand="1" w:evenHBand="0" w:firstRowFirstColumn="0" w:firstRowLastColumn="0" w:lastRowFirstColumn="0" w:lastRowLastColumn="0"/>
            </w:pPr>
            <w:r w:rsidRPr="008F29D5">
              <w:t>2500</w:t>
            </w:r>
          </w:p>
        </w:tc>
      </w:tr>
      <w:tr w:rsidR="008F29D5" w:rsidRPr="008F29D5" w14:paraId="78C35AC0" w14:textId="77777777" w:rsidTr="0002587F">
        <w:trPr>
          <w:trHeight w:val="20"/>
          <w:jc w:val="center"/>
        </w:trPr>
        <w:tc>
          <w:tcPr>
            <w:cnfStyle w:val="001000000000" w:firstRow="0" w:lastRow="0" w:firstColumn="1" w:lastColumn="0" w:oddVBand="0" w:evenVBand="0" w:oddHBand="0" w:evenHBand="0" w:firstRowFirstColumn="0" w:firstRowLastColumn="0" w:lastRowFirstColumn="0" w:lastRowLastColumn="0"/>
            <w:tcW w:w="1805" w:type="dxa"/>
            <w:noWrap/>
            <w:hideMark/>
          </w:tcPr>
          <w:p w14:paraId="3DB59D24" w14:textId="77777777" w:rsidR="00124FDA" w:rsidRPr="008F29D5" w:rsidRDefault="00124FDA" w:rsidP="00124FDA">
            <w:pPr>
              <w:spacing w:after="0"/>
              <w:jc w:val="center"/>
            </w:pPr>
            <w:r w:rsidRPr="008F29D5">
              <w:t>10</w:t>
            </w:r>
          </w:p>
        </w:tc>
        <w:tc>
          <w:tcPr>
            <w:tcW w:w="2150" w:type="dxa"/>
            <w:noWrap/>
            <w:hideMark/>
          </w:tcPr>
          <w:p w14:paraId="7B5A418C" w14:textId="77777777" w:rsidR="00124FDA" w:rsidRPr="008F29D5" w:rsidRDefault="00124FDA" w:rsidP="00124FDA">
            <w:pPr>
              <w:spacing w:after="0"/>
              <w:jc w:val="center"/>
              <w:cnfStyle w:val="000000000000" w:firstRow="0" w:lastRow="0" w:firstColumn="0" w:lastColumn="0" w:oddVBand="0" w:evenVBand="0" w:oddHBand="0" w:evenHBand="0" w:firstRowFirstColumn="0" w:firstRowLastColumn="0" w:lastRowFirstColumn="0" w:lastRowLastColumn="0"/>
            </w:pPr>
            <w:r w:rsidRPr="008F29D5">
              <w:t>4</w:t>
            </w:r>
          </w:p>
        </w:tc>
        <w:tc>
          <w:tcPr>
            <w:tcW w:w="1460" w:type="dxa"/>
            <w:noWrap/>
            <w:hideMark/>
          </w:tcPr>
          <w:p w14:paraId="50917F09" w14:textId="77777777" w:rsidR="00124FDA" w:rsidRPr="008F29D5" w:rsidRDefault="00124FDA" w:rsidP="00124FDA">
            <w:pPr>
              <w:spacing w:after="0"/>
              <w:jc w:val="center"/>
              <w:cnfStyle w:val="000000000000" w:firstRow="0" w:lastRow="0" w:firstColumn="0" w:lastColumn="0" w:oddVBand="0" w:evenVBand="0" w:oddHBand="0" w:evenHBand="0" w:firstRowFirstColumn="0" w:firstRowLastColumn="0" w:lastRowFirstColumn="0" w:lastRowLastColumn="0"/>
            </w:pPr>
            <w:r w:rsidRPr="008F29D5">
              <w:t>5000</w:t>
            </w:r>
          </w:p>
        </w:tc>
      </w:tr>
      <w:tr w:rsidR="008F29D5" w:rsidRPr="008F29D5" w14:paraId="5C2C0306" w14:textId="77777777" w:rsidTr="0002587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805" w:type="dxa"/>
            <w:noWrap/>
            <w:hideMark/>
          </w:tcPr>
          <w:p w14:paraId="4F2445FA" w14:textId="77777777" w:rsidR="00124FDA" w:rsidRPr="008F29D5" w:rsidRDefault="00124FDA" w:rsidP="00124FDA">
            <w:pPr>
              <w:spacing w:after="0"/>
              <w:jc w:val="center"/>
            </w:pPr>
            <w:r w:rsidRPr="008F29D5">
              <w:t>10</w:t>
            </w:r>
          </w:p>
        </w:tc>
        <w:tc>
          <w:tcPr>
            <w:tcW w:w="2150" w:type="dxa"/>
            <w:noWrap/>
            <w:hideMark/>
          </w:tcPr>
          <w:p w14:paraId="3D9D6BA0" w14:textId="4393579A" w:rsidR="00124FDA" w:rsidRPr="008F29D5" w:rsidRDefault="00124FDA" w:rsidP="0002587F">
            <w:pPr>
              <w:spacing w:after="0"/>
              <w:jc w:val="center"/>
              <w:cnfStyle w:val="000000100000" w:firstRow="0" w:lastRow="0" w:firstColumn="0" w:lastColumn="0" w:oddVBand="0" w:evenVBand="0" w:oddHBand="1" w:evenHBand="0" w:firstRowFirstColumn="0" w:firstRowLastColumn="0" w:lastRowFirstColumn="0" w:lastRowLastColumn="0"/>
            </w:pPr>
            <w:r w:rsidRPr="008F29D5">
              <w:t>8</w:t>
            </w:r>
            <w:r w:rsidR="002866C9" w:rsidRPr="008F29D5">
              <w:t xml:space="preserve"> </w:t>
            </w:r>
          </w:p>
        </w:tc>
        <w:tc>
          <w:tcPr>
            <w:tcW w:w="1460" w:type="dxa"/>
            <w:noWrap/>
            <w:hideMark/>
          </w:tcPr>
          <w:p w14:paraId="5B36B0DD" w14:textId="4775A2F2" w:rsidR="00124FDA" w:rsidRPr="008F29D5" w:rsidRDefault="00124FDA" w:rsidP="00124FDA">
            <w:pPr>
              <w:spacing w:after="0"/>
              <w:jc w:val="center"/>
              <w:cnfStyle w:val="000000100000" w:firstRow="0" w:lastRow="0" w:firstColumn="0" w:lastColumn="0" w:oddVBand="0" w:evenVBand="0" w:oddHBand="1" w:evenHBand="0" w:firstRowFirstColumn="0" w:firstRowLastColumn="0" w:lastRowFirstColumn="0" w:lastRowLastColumn="0"/>
            </w:pPr>
            <w:r w:rsidRPr="008F29D5">
              <w:t>10000</w:t>
            </w:r>
          </w:p>
        </w:tc>
      </w:tr>
    </w:tbl>
    <w:p w14:paraId="7D1DEB1B" w14:textId="77777777" w:rsidR="006A4A76" w:rsidRPr="008F29D5" w:rsidRDefault="006A4A76" w:rsidP="006A4A76">
      <w:pPr>
        <w:pStyle w:val="Recommend-1"/>
        <w:numPr>
          <w:ilvl w:val="0"/>
          <w:numId w:val="0"/>
        </w:numPr>
        <w:ind w:left="360"/>
      </w:pPr>
    </w:p>
    <w:p w14:paraId="62C17883" w14:textId="4B99B551" w:rsidR="00124FDA" w:rsidRPr="008F29D5" w:rsidRDefault="00124FDA" w:rsidP="00FD379C">
      <w:pPr>
        <w:pStyle w:val="Observationstyle"/>
      </w:pPr>
      <w:bookmarkStart w:id="128" w:name="_Toc489540554"/>
      <w:bookmarkStart w:id="129" w:name="_Toc489540568"/>
      <w:bookmarkStart w:id="130" w:name="_Toc489542069"/>
      <w:bookmarkStart w:id="131" w:name="_Toc489604597"/>
      <w:bookmarkStart w:id="132" w:name="_Toc490133550"/>
      <w:bookmarkStart w:id="133" w:name="_Toc490206783"/>
      <w:bookmarkStart w:id="134" w:name="_Toc490247172"/>
      <w:bookmarkStart w:id="135" w:name="_Toc490250761"/>
      <w:bookmarkStart w:id="136" w:name="_Toc490250862"/>
      <w:bookmarkStart w:id="137" w:name="_Toc494150882"/>
      <w:bookmarkStart w:id="138" w:name="_Toc494156310"/>
      <w:bookmarkStart w:id="139" w:name="_Toc494392111"/>
      <w:bookmarkStart w:id="140" w:name="_Toc494399508"/>
      <w:bookmarkStart w:id="141" w:name="_Toc494405380"/>
      <w:r w:rsidRPr="008F29D5">
        <w:t>Current size of max data volume</w:t>
      </w:r>
      <w:r w:rsidR="0002587F" w:rsidRPr="008F29D5">
        <w:t xml:space="preserve"> (</w:t>
      </w:r>
      <w:proofErr w:type="spellStart"/>
      <w:r w:rsidR="0002587F" w:rsidRPr="008F29D5">
        <w:t>Bmax</w:t>
      </w:r>
      <w:proofErr w:type="spellEnd"/>
      <w:r w:rsidR="0002587F" w:rsidRPr="008F29D5">
        <w:t xml:space="preserve"> of 3000 Kbyte)</w:t>
      </w:r>
      <w:r w:rsidRPr="008F29D5">
        <w:t xml:space="preserve"> in the LTE extended bu</w:t>
      </w:r>
      <w:r w:rsidR="006A4A76" w:rsidRPr="008F29D5">
        <w:t xml:space="preserve">ffer index table </w:t>
      </w:r>
      <w:r w:rsidR="0002587F" w:rsidRPr="008F29D5">
        <w:t>can</w:t>
      </w:r>
      <w:r w:rsidR="006A4A76" w:rsidRPr="008F29D5">
        <w:t xml:space="preserve"> achieve the U</w:t>
      </w:r>
      <w:r w:rsidR="0002587F" w:rsidRPr="008F29D5">
        <w:t>L peak data rate of 10Gbps</w:t>
      </w:r>
      <w:r w:rsidR="006A4A76" w:rsidRPr="008F29D5">
        <w: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83A9923" w14:textId="2AD3BB6B" w:rsidR="00F04592" w:rsidRPr="008F29D5" w:rsidRDefault="00F04592" w:rsidP="00F04592">
      <w:r w:rsidRPr="008F29D5">
        <w:t xml:space="preserve">However, to achieve the peak UL data rate of 10 </w:t>
      </w:r>
      <w:proofErr w:type="spellStart"/>
      <w:r w:rsidRPr="008F29D5">
        <w:t>Gbps</w:t>
      </w:r>
      <w:proofErr w:type="spellEnd"/>
      <w:r w:rsidRPr="008F29D5">
        <w:t xml:space="preserve"> at 30KHz SCS and slot duration of 0.5ms or TTI duration of 0.5ms, the maximum data volume a UE needs to report in BSR is 10000 Kbyte. This indicates that an additional BSR index table needs to be defined in NR.</w:t>
      </w:r>
    </w:p>
    <w:p w14:paraId="23C4B8AE" w14:textId="0BBD8607" w:rsidR="0002587F" w:rsidRPr="008F29D5" w:rsidRDefault="00F04592" w:rsidP="006D1780">
      <w:pPr>
        <w:pStyle w:val="Observationstyle"/>
      </w:pPr>
      <w:bookmarkStart w:id="142" w:name="_Toc489542065"/>
      <w:bookmarkStart w:id="143" w:name="_Toc489550762"/>
      <w:bookmarkStart w:id="144" w:name="_Toc489604610"/>
      <w:bookmarkStart w:id="145" w:name="_Toc489695312"/>
      <w:bookmarkStart w:id="146" w:name="_Toc490133556"/>
      <w:bookmarkStart w:id="147" w:name="_Toc490206789"/>
      <w:bookmarkStart w:id="148" w:name="_Toc490247177"/>
      <w:bookmarkStart w:id="149" w:name="_Toc490250766"/>
      <w:bookmarkStart w:id="150" w:name="_Toc490250867"/>
      <w:bookmarkStart w:id="151" w:name="_Toc494150888"/>
      <w:bookmarkStart w:id="152" w:name="_Toc494156311"/>
      <w:bookmarkStart w:id="153" w:name="_Toc494392112"/>
      <w:bookmarkStart w:id="154" w:name="_Toc494399509"/>
      <w:bookmarkStart w:id="155" w:name="_Toc494405381"/>
      <w:r w:rsidRPr="008F29D5">
        <w:t xml:space="preserve">An additional BSR index table </w:t>
      </w:r>
      <w:r w:rsidR="006D1780" w:rsidRPr="008F29D5">
        <w:t>can be</w:t>
      </w:r>
      <w:r w:rsidRPr="008F29D5">
        <w:t xml:space="preserve"> defined to support the request of </w:t>
      </w:r>
      <w:r w:rsidR="0079706D" w:rsidRPr="008F29D5">
        <w:t>larger</w:t>
      </w:r>
      <w:r w:rsidR="0002587F" w:rsidRPr="008F29D5">
        <w:t xml:space="preserve"> data volume</w:t>
      </w:r>
      <w:r w:rsidR="0079706D" w:rsidRPr="008F29D5">
        <w:t xml:space="preserve"> (e.g. 10000 Kbyte)</w:t>
      </w:r>
      <w:r w:rsidR="0002587F" w:rsidRPr="008F29D5">
        <w:t xml:space="preserve"> in NR.</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0002587F" w:rsidRPr="008F29D5">
        <w:t xml:space="preserve"> </w:t>
      </w:r>
    </w:p>
    <w:p w14:paraId="3D8652B7" w14:textId="626CA485" w:rsidR="0079706D" w:rsidRPr="008F29D5" w:rsidRDefault="0079706D" w:rsidP="00DC486E">
      <w:r w:rsidRPr="008F29D5">
        <w:t xml:space="preserve">RAN1 has not yet decided the specific value of RTT in NR. The value of the </w:t>
      </w:r>
      <w:proofErr w:type="spellStart"/>
      <w:r w:rsidRPr="008F29D5">
        <w:t>Bmax</w:t>
      </w:r>
      <w:proofErr w:type="spellEnd"/>
      <w:r w:rsidRPr="008F29D5">
        <w:t xml:space="preserve"> depends on the RTT. If the RTT is small in NR, the existing extended BSR index table may support the </w:t>
      </w:r>
      <w:proofErr w:type="spellStart"/>
      <w:r w:rsidRPr="008F29D5">
        <w:t>Bmax</w:t>
      </w:r>
      <w:proofErr w:type="spellEnd"/>
      <w:r w:rsidRPr="008F29D5">
        <w:t xml:space="preserve">. </w:t>
      </w:r>
      <w:r w:rsidR="006756AE" w:rsidRPr="008F29D5">
        <w:t xml:space="preserve">However the upper bound of </w:t>
      </w:r>
      <w:proofErr w:type="spellStart"/>
      <w:r w:rsidR="006756AE" w:rsidRPr="008F29D5">
        <w:t>Bmax</w:t>
      </w:r>
      <w:proofErr w:type="spellEnd"/>
      <w:r w:rsidR="006756AE" w:rsidRPr="008F29D5">
        <w:t xml:space="preserve"> needs to be future proof. </w:t>
      </w:r>
      <w:r w:rsidRPr="008F29D5">
        <w:t xml:space="preserve">Therefore, the BSR field size and BSR index table design would depends on the </w:t>
      </w:r>
      <w:r w:rsidR="006756AE" w:rsidRPr="008F29D5">
        <w:t xml:space="preserve">maximum </w:t>
      </w:r>
      <w:r w:rsidRPr="008F29D5">
        <w:t>value of RTT which will be provided by RAN1.</w:t>
      </w:r>
    </w:p>
    <w:p w14:paraId="7BAF7A03" w14:textId="2BD8FCE3" w:rsidR="0079706D" w:rsidRPr="008F29D5" w:rsidRDefault="0079706D" w:rsidP="00DC486E">
      <w:pPr>
        <w:pStyle w:val="Recommend-1"/>
      </w:pPr>
      <w:bookmarkStart w:id="156" w:name="_Toc494150889"/>
      <w:bookmarkStart w:id="157" w:name="_Toc494156317"/>
      <w:bookmarkStart w:id="158" w:name="_Toc494392118"/>
      <w:bookmarkStart w:id="159" w:name="_Toc494399515"/>
      <w:bookmarkStart w:id="160" w:name="_Toc494405376"/>
      <w:r w:rsidRPr="008F29D5">
        <w:t>RAN1 input on value of RTT is required to decide if larger BS field size and new BS index table are required.</w:t>
      </w:r>
      <w:bookmarkEnd w:id="156"/>
      <w:bookmarkEnd w:id="157"/>
      <w:bookmarkEnd w:id="158"/>
      <w:bookmarkEnd w:id="159"/>
      <w:bookmarkEnd w:id="160"/>
    </w:p>
    <w:p w14:paraId="6E244F3F" w14:textId="77777777" w:rsidR="003F5E77" w:rsidRPr="008F29D5" w:rsidRDefault="003F5E77" w:rsidP="003F5E77">
      <w:pPr>
        <w:pStyle w:val="Heading1"/>
        <w:rPr>
          <w:rFonts w:cs="Arial"/>
        </w:rPr>
      </w:pPr>
      <w:r w:rsidRPr="008F29D5">
        <w:rPr>
          <w:rFonts w:cs="Arial"/>
        </w:rPr>
        <w:t xml:space="preserve">Summary </w:t>
      </w:r>
    </w:p>
    <w:p w14:paraId="1C05EBB2" w14:textId="77777777" w:rsidR="00DC20E1" w:rsidRPr="008F29D5" w:rsidRDefault="00DC20E1" w:rsidP="00DC20E1">
      <w:pPr>
        <w:rPr>
          <w:lang w:val="en-GB" w:eastAsia="x-none"/>
        </w:rPr>
      </w:pPr>
      <w:r w:rsidRPr="008F29D5">
        <w:rPr>
          <w:lang w:val="en-GB" w:eastAsia="x-none"/>
        </w:rPr>
        <w:t>Based on the above discussion, we have following observations:</w:t>
      </w:r>
    </w:p>
    <w:p w14:paraId="17F9E062" w14:textId="77777777" w:rsidR="00592CF2" w:rsidRDefault="00DC20E1">
      <w:pPr>
        <w:pStyle w:val="TOC1"/>
        <w:tabs>
          <w:tab w:val="right" w:leader="dot" w:pos="9350"/>
        </w:tabs>
        <w:rPr>
          <w:rFonts w:asciiTheme="minorHAnsi" w:eastAsiaTheme="minorEastAsia" w:hAnsiTheme="minorHAnsi" w:cstheme="minorBidi"/>
          <w:noProof/>
          <w:sz w:val="22"/>
          <w:szCs w:val="22"/>
        </w:rPr>
      </w:pPr>
      <w:r w:rsidRPr="008F29D5">
        <w:rPr>
          <w:sz w:val="28"/>
          <w:lang w:val="en-GB" w:eastAsia="x-none"/>
        </w:rPr>
        <w:fldChar w:fldCharType="begin"/>
      </w:r>
      <w:r w:rsidRPr="008F29D5">
        <w:rPr>
          <w:sz w:val="28"/>
          <w:lang w:val="en-GB" w:eastAsia="x-none"/>
        </w:rPr>
        <w:instrText xml:space="preserve"> TOC \n \t "Observation style,1" </w:instrText>
      </w:r>
      <w:r w:rsidRPr="008F29D5">
        <w:rPr>
          <w:sz w:val="28"/>
          <w:lang w:val="en-GB" w:eastAsia="x-none"/>
        </w:rPr>
        <w:fldChar w:fldCharType="separate"/>
      </w:r>
      <w:r w:rsidR="00592CF2" w:rsidRPr="00B23428">
        <w:rPr>
          <w:rFonts w:ascii="Times New Roman Bold" w:hAnsi="Times New Roman Bold"/>
          <w:b/>
          <w:noProof/>
        </w:rPr>
        <w:t>Observation 1</w:t>
      </w:r>
      <w:r w:rsidR="00592CF2">
        <w:rPr>
          <w:noProof/>
        </w:rPr>
        <w:t xml:space="preserve"> BSR does not need to carry explicit information specific to numerology/TTI length as this can be implied by the LCG. It is up to the network to map a logical channel to a particular numerology/TTI length and to a particular LCG.</w:t>
      </w:r>
    </w:p>
    <w:p w14:paraId="6821D00A" w14:textId="77777777" w:rsidR="00592CF2" w:rsidRDefault="00592CF2">
      <w:pPr>
        <w:pStyle w:val="TOC1"/>
        <w:tabs>
          <w:tab w:val="right" w:leader="dot" w:pos="9350"/>
        </w:tabs>
        <w:rPr>
          <w:rFonts w:asciiTheme="minorHAnsi" w:eastAsiaTheme="minorEastAsia" w:hAnsiTheme="minorHAnsi" w:cstheme="minorBidi"/>
          <w:noProof/>
          <w:sz w:val="22"/>
          <w:szCs w:val="22"/>
        </w:rPr>
      </w:pPr>
      <w:r w:rsidRPr="00B23428">
        <w:rPr>
          <w:rFonts w:ascii="Times New Roman Bold" w:hAnsi="Times New Roman Bold"/>
          <w:b/>
          <w:noProof/>
        </w:rPr>
        <w:t>Observation 2</w:t>
      </w:r>
      <w:r>
        <w:rPr>
          <w:noProof/>
        </w:rPr>
        <w:t xml:space="preserve"> Since all MAC CEs in uplink are placed at the end of the MAC PDU, a variable size BSR format is a viable option.</w:t>
      </w:r>
    </w:p>
    <w:p w14:paraId="7436F190" w14:textId="77777777" w:rsidR="00592CF2" w:rsidRDefault="00592CF2">
      <w:pPr>
        <w:pStyle w:val="TOC1"/>
        <w:tabs>
          <w:tab w:val="right" w:leader="dot" w:pos="9350"/>
        </w:tabs>
        <w:rPr>
          <w:rFonts w:asciiTheme="minorHAnsi" w:eastAsiaTheme="minorEastAsia" w:hAnsiTheme="minorHAnsi" w:cstheme="minorBidi"/>
          <w:noProof/>
          <w:sz w:val="22"/>
          <w:szCs w:val="22"/>
        </w:rPr>
      </w:pPr>
      <w:r w:rsidRPr="00B23428">
        <w:rPr>
          <w:rFonts w:ascii="Times New Roman Bold" w:hAnsi="Times New Roman Bold"/>
          <w:b/>
          <w:noProof/>
        </w:rPr>
        <w:t>Observation 3</w:t>
      </w:r>
      <w:r>
        <w:rPr>
          <w:noProof/>
        </w:rPr>
        <w:t xml:space="preserve"> In NR, variable BSR may be helpful to reduce overhead in MAC PDU.</w:t>
      </w:r>
    </w:p>
    <w:p w14:paraId="7ADE0AA9" w14:textId="77777777" w:rsidR="00592CF2" w:rsidRDefault="00592CF2">
      <w:pPr>
        <w:pStyle w:val="TOC1"/>
        <w:tabs>
          <w:tab w:val="right" w:leader="dot" w:pos="9350"/>
        </w:tabs>
        <w:rPr>
          <w:rFonts w:asciiTheme="minorHAnsi" w:eastAsiaTheme="minorEastAsia" w:hAnsiTheme="minorHAnsi" w:cstheme="minorBidi"/>
          <w:noProof/>
          <w:sz w:val="22"/>
          <w:szCs w:val="22"/>
        </w:rPr>
      </w:pPr>
      <w:r w:rsidRPr="00B23428">
        <w:rPr>
          <w:rFonts w:ascii="Times New Roman Bold" w:hAnsi="Times New Roman Bold"/>
          <w:b/>
          <w:noProof/>
        </w:rPr>
        <w:t>Observation 4</w:t>
      </w:r>
      <w:r>
        <w:rPr>
          <w:noProof/>
        </w:rPr>
        <w:t xml:space="preserve"> Current size of max data volume (Bmax of 3000 Kbyte) in the LTE extended buffer index table can achieve the UL peak data rate of 10Gbps.</w:t>
      </w:r>
    </w:p>
    <w:p w14:paraId="334BDE38" w14:textId="77777777" w:rsidR="00592CF2" w:rsidRDefault="00592CF2">
      <w:pPr>
        <w:pStyle w:val="TOC1"/>
        <w:tabs>
          <w:tab w:val="right" w:leader="dot" w:pos="9350"/>
        </w:tabs>
        <w:rPr>
          <w:rFonts w:asciiTheme="minorHAnsi" w:eastAsiaTheme="minorEastAsia" w:hAnsiTheme="minorHAnsi" w:cstheme="minorBidi"/>
          <w:noProof/>
          <w:sz w:val="22"/>
          <w:szCs w:val="22"/>
        </w:rPr>
      </w:pPr>
      <w:r w:rsidRPr="00B23428">
        <w:rPr>
          <w:rFonts w:ascii="Times New Roman Bold" w:hAnsi="Times New Roman Bold"/>
          <w:b/>
          <w:noProof/>
        </w:rPr>
        <w:t>Observation 5</w:t>
      </w:r>
      <w:r>
        <w:rPr>
          <w:noProof/>
        </w:rPr>
        <w:t xml:space="preserve"> An additional BSR index table can be defined to support the request of larger data volume (e.g. 10000 Kbyte) in NR.</w:t>
      </w:r>
    </w:p>
    <w:p w14:paraId="04F297AF" w14:textId="76A856BB" w:rsidR="00DC20E1" w:rsidRPr="008F29D5" w:rsidRDefault="00DC20E1" w:rsidP="00DC20E1">
      <w:pPr>
        <w:spacing w:line="276" w:lineRule="auto"/>
        <w:rPr>
          <w:noProof/>
          <w:lang w:val="en-GB"/>
        </w:rPr>
      </w:pPr>
      <w:r w:rsidRPr="008F29D5">
        <w:rPr>
          <w:sz w:val="28"/>
          <w:lang w:val="en-GB" w:eastAsia="x-none"/>
        </w:rPr>
        <w:fldChar w:fldCharType="end"/>
      </w:r>
      <w:r w:rsidRPr="008F29D5">
        <w:rPr>
          <w:noProof/>
          <w:lang w:val="en-GB"/>
        </w:rPr>
        <w:t>Based on these observations and</w:t>
      </w:r>
      <w:bookmarkStart w:id="161" w:name="_GoBack"/>
      <w:bookmarkEnd w:id="161"/>
      <w:r w:rsidRPr="008F29D5">
        <w:rPr>
          <w:noProof/>
          <w:lang w:val="en-GB"/>
        </w:rPr>
        <w:t xml:space="preserve"> discussion, we propose:</w:t>
      </w:r>
    </w:p>
    <w:p w14:paraId="1D1368A5" w14:textId="77777777" w:rsidR="00592CF2" w:rsidRDefault="00DC20E1">
      <w:pPr>
        <w:pStyle w:val="TOC1"/>
        <w:tabs>
          <w:tab w:val="left" w:pos="1320"/>
          <w:tab w:val="right" w:leader="dot" w:pos="9350"/>
        </w:tabs>
        <w:rPr>
          <w:rFonts w:asciiTheme="minorHAnsi" w:eastAsiaTheme="minorEastAsia" w:hAnsiTheme="minorHAnsi" w:cstheme="minorBidi"/>
          <w:noProof/>
          <w:sz w:val="22"/>
          <w:szCs w:val="22"/>
        </w:rPr>
      </w:pPr>
      <w:r w:rsidRPr="008F29D5">
        <w:rPr>
          <w:sz w:val="28"/>
          <w:lang w:val="en-GB" w:eastAsia="x-none"/>
        </w:rPr>
        <w:fldChar w:fldCharType="begin"/>
      </w:r>
      <w:r w:rsidRPr="008F29D5">
        <w:rPr>
          <w:sz w:val="28"/>
          <w:lang w:val="en-GB" w:eastAsia="x-none"/>
        </w:rPr>
        <w:instrText xml:space="preserve"> TOC \n \t "Recommend-1,1" </w:instrText>
      </w:r>
      <w:r w:rsidRPr="008F29D5">
        <w:rPr>
          <w:sz w:val="28"/>
          <w:lang w:val="en-GB" w:eastAsia="x-none"/>
        </w:rPr>
        <w:fldChar w:fldCharType="separate"/>
      </w:r>
      <w:r w:rsidR="00592CF2" w:rsidRPr="00842DD4">
        <w:rPr>
          <w:b/>
          <w:noProof/>
        </w:rPr>
        <w:t>Proposal 1.</w:t>
      </w:r>
      <w:r w:rsidR="00592CF2">
        <w:rPr>
          <w:rFonts w:asciiTheme="minorHAnsi" w:eastAsiaTheme="minorEastAsia" w:hAnsiTheme="minorHAnsi" w:cstheme="minorBidi"/>
          <w:noProof/>
          <w:sz w:val="22"/>
          <w:szCs w:val="22"/>
        </w:rPr>
        <w:tab/>
      </w:r>
      <w:r w:rsidR="00592CF2">
        <w:rPr>
          <w:noProof/>
        </w:rPr>
        <w:t>BSR includes only LCG ID to imply the information of numerology/TTI.</w:t>
      </w:r>
    </w:p>
    <w:p w14:paraId="0CA245E8" w14:textId="77777777" w:rsidR="00592CF2" w:rsidRDefault="00592CF2">
      <w:pPr>
        <w:pStyle w:val="TOC1"/>
        <w:tabs>
          <w:tab w:val="left" w:pos="1320"/>
          <w:tab w:val="right" w:leader="dot" w:pos="9350"/>
        </w:tabs>
        <w:rPr>
          <w:rFonts w:asciiTheme="minorHAnsi" w:eastAsiaTheme="minorEastAsia" w:hAnsiTheme="minorHAnsi" w:cstheme="minorBidi"/>
          <w:noProof/>
          <w:sz w:val="22"/>
          <w:szCs w:val="22"/>
        </w:rPr>
      </w:pPr>
      <w:r w:rsidRPr="00842DD4">
        <w:rPr>
          <w:b/>
          <w:noProof/>
        </w:rPr>
        <w:t>Proposal 2.</w:t>
      </w:r>
      <w:r>
        <w:rPr>
          <w:rFonts w:asciiTheme="minorHAnsi" w:eastAsiaTheme="minorEastAsia" w:hAnsiTheme="minorHAnsi" w:cstheme="minorBidi"/>
          <w:noProof/>
          <w:sz w:val="22"/>
          <w:szCs w:val="22"/>
        </w:rPr>
        <w:tab/>
      </w:r>
      <w:r>
        <w:rPr>
          <w:noProof/>
        </w:rPr>
        <w:t>The existing BS index table is mapped to 5 bit BS index table for one byte short BSR. Details are FFS.</w:t>
      </w:r>
    </w:p>
    <w:p w14:paraId="48607F17" w14:textId="77777777" w:rsidR="00592CF2" w:rsidRDefault="00592CF2">
      <w:pPr>
        <w:pStyle w:val="TOC1"/>
        <w:tabs>
          <w:tab w:val="left" w:pos="1320"/>
          <w:tab w:val="right" w:leader="dot" w:pos="9350"/>
        </w:tabs>
        <w:rPr>
          <w:rFonts w:asciiTheme="minorHAnsi" w:eastAsiaTheme="minorEastAsia" w:hAnsiTheme="minorHAnsi" w:cstheme="minorBidi"/>
          <w:noProof/>
          <w:sz w:val="22"/>
          <w:szCs w:val="22"/>
        </w:rPr>
      </w:pPr>
      <w:r w:rsidRPr="00842DD4">
        <w:rPr>
          <w:b/>
          <w:noProof/>
        </w:rPr>
        <w:t>Proposal 3.</w:t>
      </w:r>
      <w:r>
        <w:rPr>
          <w:rFonts w:asciiTheme="minorHAnsi" w:eastAsiaTheme="minorEastAsia" w:hAnsiTheme="minorHAnsi" w:cstheme="minorBidi"/>
          <w:noProof/>
          <w:sz w:val="22"/>
          <w:szCs w:val="22"/>
        </w:rPr>
        <w:tab/>
      </w:r>
      <w:r>
        <w:rPr>
          <w:noProof/>
        </w:rPr>
        <w:t>A variable long BSR format includes 1 byte bitmap indicator at the beginning to indicate which LCGs are being reported.</w:t>
      </w:r>
    </w:p>
    <w:p w14:paraId="38F87CD5" w14:textId="77777777" w:rsidR="00592CF2" w:rsidRDefault="00592CF2">
      <w:pPr>
        <w:pStyle w:val="TOC1"/>
        <w:tabs>
          <w:tab w:val="left" w:pos="1320"/>
          <w:tab w:val="right" w:leader="dot" w:pos="9350"/>
        </w:tabs>
        <w:rPr>
          <w:rFonts w:asciiTheme="minorHAnsi" w:eastAsiaTheme="minorEastAsia" w:hAnsiTheme="minorHAnsi" w:cstheme="minorBidi"/>
          <w:noProof/>
          <w:sz w:val="22"/>
          <w:szCs w:val="22"/>
        </w:rPr>
      </w:pPr>
      <w:r w:rsidRPr="00842DD4">
        <w:rPr>
          <w:b/>
          <w:noProof/>
        </w:rPr>
        <w:t>Proposal 4.</w:t>
      </w:r>
      <w:r>
        <w:rPr>
          <w:rFonts w:asciiTheme="minorHAnsi" w:eastAsiaTheme="minorEastAsia" w:hAnsiTheme="minorHAnsi" w:cstheme="minorBidi"/>
          <w:noProof/>
          <w:sz w:val="22"/>
          <w:szCs w:val="22"/>
        </w:rPr>
        <w:tab/>
      </w:r>
      <w:r>
        <w:rPr>
          <w:noProof/>
        </w:rPr>
        <w:t>A truncated variable BSR format is supported in NR.</w:t>
      </w:r>
    </w:p>
    <w:p w14:paraId="2FD9CB4D" w14:textId="77777777" w:rsidR="00592CF2" w:rsidRDefault="00592CF2">
      <w:pPr>
        <w:pStyle w:val="TOC1"/>
        <w:tabs>
          <w:tab w:val="left" w:pos="1320"/>
          <w:tab w:val="right" w:leader="dot" w:pos="9350"/>
        </w:tabs>
        <w:rPr>
          <w:rFonts w:asciiTheme="minorHAnsi" w:eastAsiaTheme="minorEastAsia" w:hAnsiTheme="minorHAnsi" w:cstheme="minorBidi"/>
          <w:noProof/>
          <w:sz w:val="22"/>
          <w:szCs w:val="22"/>
        </w:rPr>
      </w:pPr>
      <w:r w:rsidRPr="00842DD4">
        <w:rPr>
          <w:b/>
          <w:noProof/>
          <w:lang w:val="en-GB"/>
        </w:rPr>
        <w:lastRenderedPageBreak/>
        <w:t>Proposal 5.</w:t>
      </w:r>
      <w:r>
        <w:rPr>
          <w:rFonts w:asciiTheme="minorHAnsi" w:eastAsiaTheme="minorEastAsia" w:hAnsiTheme="minorHAnsi" w:cstheme="minorBidi"/>
          <w:noProof/>
          <w:sz w:val="22"/>
          <w:szCs w:val="22"/>
        </w:rPr>
        <w:tab/>
      </w:r>
      <w:r w:rsidRPr="00842DD4">
        <w:rPr>
          <w:noProof/>
          <w:lang w:val="en-GB"/>
        </w:rPr>
        <w:t>BSR cancellation condition is LTE baseline.</w:t>
      </w:r>
    </w:p>
    <w:p w14:paraId="51590D3B" w14:textId="77777777" w:rsidR="00592CF2" w:rsidRDefault="00592CF2">
      <w:pPr>
        <w:pStyle w:val="TOC1"/>
        <w:tabs>
          <w:tab w:val="left" w:pos="1320"/>
          <w:tab w:val="right" w:leader="dot" w:pos="9350"/>
        </w:tabs>
        <w:rPr>
          <w:rFonts w:asciiTheme="minorHAnsi" w:eastAsiaTheme="minorEastAsia" w:hAnsiTheme="minorHAnsi" w:cstheme="minorBidi"/>
          <w:noProof/>
          <w:sz w:val="22"/>
          <w:szCs w:val="22"/>
        </w:rPr>
      </w:pPr>
      <w:r w:rsidRPr="00842DD4">
        <w:rPr>
          <w:b/>
          <w:noProof/>
        </w:rPr>
        <w:t>Proposal 6.</w:t>
      </w:r>
      <w:r>
        <w:rPr>
          <w:rFonts w:asciiTheme="minorHAnsi" w:eastAsiaTheme="minorEastAsia" w:hAnsiTheme="minorHAnsi" w:cstheme="minorBidi"/>
          <w:noProof/>
          <w:sz w:val="22"/>
          <w:szCs w:val="22"/>
        </w:rPr>
        <w:tab/>
      </w:r>
      <w:r>
        <w:rPr>
          <w:noProof/>
        </w:rPr>
        <w:t>RAN1 input on value of RTT is required to decide if larger BS field size and new BS index table are required.</w:t>
      </w:r>
    </w:p>
    <w:p w14:paraId="3E224C16" w14:textId="1B1BED72" w:rsidR="003F5E77" w:rsidRPr="008F29D5" w:rsidRDefault="00DC20E1" w:rsidP="004F49F5">
      <w:pPr>
        <w:pStyle w:val="TOC1"/>
        <w:tabs>
          <w:tab w:val="left" w:pos="1320"/>
          <w:tab w:val="right" w:leader="dot" w:pos="9350"/>
        </w:tabs>
        <w:rPr>
          <w:sz w:val="28"/>
          <w:lang w:val="en-GB" w:eastAsia="x-none"/>
        </w:rPr>
      </w:pPr>
      <w:r w:rsidRPr="008F29D5">
        <w:rPr>
          <w:sz w:val="28"/>
          <w:lang w:val="en-GB" w:eastAsia="x-none"/>
        </w:rPr>
        <w:fldChar w:fldCharType="end"/>
      </w:r>
    </w:p>
    <w:p w14:paraId="44CDB911" w14:textId="77777777" w:rsidR="003F5E77" w:rsidRPr="008F29D5" w:rsidRDefault="003F5E77" w:rsidP="003F5E77">
      <w:pPr>
        <w:pStyle w:val="Heading1"/>
        <w:rPr>
          <w:rFonts w:cs="Arial"/>
        </w:rPr>
      </w:pPr>
      <w:r w:rsidRPr="008F29D5">
        <w:rPr>
          <w:rFonts w:cs="Arial"/>
        </w:rPr>
        <w:t>Reference</w:t>
      </w:r>
    </w:p>
    <w:bookmarkEnd w:id="2"/>
    <w:p w14:paraId="2341892F" w14:textId="2A1AAAC2" w:rsidR="003F5E77" w:rsidRPr="008F29D5" w:rsidRDefault="00745B05" w:rsidP="003F5E77">
      <w:pPr>
        <w:rPr>
          <w:rFonts w:cs="Arial"/>
        </w:rPr>
      </w:pPr>
      <w:r w:rsidRPr="008F29D5">
        <w:rPr>
          <w:lang w:val="en-GB"/>
        </w:rPr>
        <w:t>[1</w:t>
      </w:r>
      <w:r w:rsidR="00DF2E76" w:rsidRPr="008F29D5">
        <w:rPr>
          <w:lang w:val="en-GB"/>
        </w:rPr>
        <w:t xml:space="preserve">] </w:t>
      </w:r>
      <w:r w:rsidRPr="008F29D5">
        <w:t>Draft Report of 3GPP TSG RAN WG</w:t>
      </w:r>
      <w:r w:rsidR="00ED6478" w:rsidRPr="008F29D5">
        <w:t>2 97bis meeting, Spokane, US, April 3</w:t>
      </w:r>
      <w:r w:rsidR="00ED6478" w:rsidRPr="008F29D5">
        <w:rPr>
          <w:vertAlign w:val="superscript"/>
        </w:rPr>
        <w:t>rd</w:t>
      </w:r>
      <w:r w:rsidR="00ED6478" w:rsidRPr="008F29D5">
        <w:t xml:space="preserve"> </w:t>
      </w:r>
      <w:r w:rsidRPr="008F29D5">
        <w:t>-</w:t>
      </w:r>
      <w:r w:rsidR="00ED6478" w:rsidRPr="008F29D5">
        <w:t>7</w:t>
      </w:r>
      <w:r w:rsidR="00ED6478" w:rsidRPr="008F29D5">
        <w:rPr>
          <w:vertAlign w:val="superscript"/>
        </w:rPr>
        <w:t>th</w:t>
      </w:r>
      <w:r w:rsidR="00ED6478" w:rsidRPr="008F29D5">
        <w:t>,</w:t>
      </w:r>
      <w:r w:rsidRPr="008F29D5">
        <w:t xml:space="preserve"> 2017.</w:t>
      </w:r>
    </w:p>
    <w:p w14:paraId="58C57AD7" w14:textId="176EC909" w:rsidR="00FC2E12" w:rsidRPr="008F29D5" w:rsidRDefault="00FC2E12" w:rsidP="00FC2E12">
      <w:r w:rsidRPr="008F29D5">
        <w:rPr>
          <w:lang w:val="en-GB"/>
        </w:rPr>
        <w:t xml:space="preserve">[2] </w:t>
      </w:r>
      <w:r w:rsidRPr="008F29D5">
        <w:t>Draft Report of 3GPP TSG RAN WG2 98 meeting, Hangzhou, China, May 15</w:t>
      </w:r>
      <w:r w:rsidRPr="008F29D5">
        <w:rPr>
          <w:vertAlign w:val="superscript"/>
        </w:rPr>
        <w:t>th</w:t>
      </w:r>
      <w:r w:rsidRPr="008F29D5">
        <w:t xml:space="preserve"> -19</w:t>
      </w:r>
      <w:r w:rsidRPr="008F29D5">
        <w:rPr>
          <w:vertAlign w:val="superscript"/>
        </w:rPr>
        <w:t>th</w:t>
      </w:r>
      <w:r w:rsidRPr="008F29D5">
        <w:t>, 2017.</w:t>
      </w:r>
    </w:p>
    <w:p w14:paraId="338A9E1E" w14:textId="51A91144" w:rsidR="00EF122C" w:rsidRPr="008F29D5" w:rsidRDefault="00EF122C" w:rsidP="00FC2E12">
      <w:r w:rsidRPr="008F29D5">
        <w:t>[3] R2-083101 “Buffer Size Levels for BSR in E-UTRA Uplink”, Ericsson, Nokia, Nokia-Siemens, Samsung, Warsaw. Poland, June 30- July 4, 2018.</w:t>
      </w:r>
    </w:p>
    <w:p w14:paraId="5B31456C" w14:textId="7B0B6F64" w:rsidR="00EF122C" w:rsidRDefault="00EF122C" w:rsidP="00EF122C">
      <w:r w:rsidRPr="008F29D5">
        <w:t xml:space="preserve">[4] R2-104913 “Discussion on the Additional Buffer Size Table for CA”, HT </w:t>
      </w:r>
      <w:proofErr w:type="spellStart"/>
      <w:r w:rsidRPr="008F29D5">
        <w:t>mMobile</w:t>
      </w:r>
      <w:proofErr w:type="spellEnd"/>
      <w:r w:rsidRPr="008F29D5">
        <w:t xml:space="preserve"> Inc., Madrid, Spain, August 23-27, 2010.</w:t>
      </w:r>
    </w:p>
    <w:p w14:paraId="0ABBA75A" w14:textId="499405A0" w:rsidR="008F29D5" w:rsidRPr="008F29D5" w:rsidRDefault="008F29D5" w:rsidP="00EF122C">
      <w:pPr>
        <w:rPr>
          <w:rFonts w:cs="Arial"/>
        </w:rPr>
      </w:pPr>
      <w:r>
        <w:rPr>
          <w:rFonts w:cs="Arial"/>
        </w:rPr>
        <w:t>[5</w:t>
      </w:r>
      <w:r w:rsidRPr="008F29D5">
        <w:rPr>
          <w:rFonts w:cs="Arial"/>
        </w:rPr>
        <w:t xml:space="preserve">] Draft Report of 3GPP TSG RAN WG2 #99, Berlin, Germany, August 21st – 25th, 2017.   </w:t>
      </w:r>
    </w:p>
    <w:p w14:paraId="27D2C08A" w14:textId="77777777" w:rsidR="00EF122C" w:rsidRPr="008F29D5" w:rsidRDefault="00EF122C" w:rsidP="00FC2E12">
      <w:pPr>
        <w:rPr>
          <w:rFonts w:cs="Arial"/>
        </w:rPr>
      </w:pPr>
    </w:p>
    <w:p w14:paraId="243898E8" w14:textId="77777777" w:rsidR="005E58B5" w:rsidRPr="008F29D5" w:rsidRDefault="005E58B5"/>
    <w:sectPr w:rsidR="005E58B5" w:rsidRPr="008F29D5" w:rsidSect="005E58B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41E"/>
    <w:multiLevelType w:val="hybridMultilevel"/>
    <w:tmpl w:val="DB1EBCCA"/>
    <w:lvl w:ilvl="0" w:tplc="9C42257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F1246"/>
    <w:multiLevelType w:val="hybridMultilevel"/>
    <w:tmpl w:val="7C3A2766"/>
    <w:lvl w:ilvl="0" w:tplc="98A44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3B27B5"/>
    <w:multiLevelType w:val="hybridMultilevel"/>
    <w:tmpl w:val="0E0C4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A3780"/>
    <w:multiLevelType w:val="hybridMultilevel"/>
    <w:tmpl w:val="1CB222C4"/>
    <w:lvl w:ilvl="0" w:tplc="D8C0C85C">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2BCC7DAE"/>
    <w:multiLevelType w:val="hybridMultilevel"/>
    <w:tmpl w:val="10A4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3C455D45"/>
    <w:multiLevelType w:val="hybridMultilevel"/>
    <w:tmpl w:val="A282D4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7B75E9"/>
    <w:multiLevelType w:val="hybridMultilevel"/>
    <w:tmpl w:val="2892D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1C3921"/>
    <w:multiLevelType w:val="hybridMultilevel"/>
    <w:tmpl w:val="54C81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5DAE1579"/>
    <w:multiLevelType w:val="hybridMultilevel"/>
    <w:tmpl w:val="F404E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0B4645"/>
    <w:multiLevelType w:val="hybridMultilevel"/>
    <w:tmpl w:val="D7F67B3A"/>
    <w:lvl w:ilvl="0" w:tplc="572CB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tentative="1">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15" w15:restartNumberingAfterBreak="0">
    <w:nsid w:val="75050157"/>
    <w:multiLevelType w:val="hybridMultilevel"/>
    <w:tmpl w:val="38965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D211EE4"/>
    <w:multiLevelType w:val="singleLevel"/>
    <w:tmpl w:val="114290A8"/>
    <w:lvl w:ilvl="0">
      <w:start w:val="1"/>
      <w:numFmt w:val="decimal"/>
      <w:pStyle w:val="Recommend-1"/>
      <w:lvlText w:val="Proposal %1."/>
      <w:lvlJc w:val="left"/>
      <w:pPr>
        <w:ind w:left="720" w:hanging="360"/>
      </w:pPr>
      <w:rPr>
        <w:rFonts w:hint="default"/>
        <w:b/>
        <w:i w:val="0"/>
      </w:rPr>
    </w:lvl>
  </w:abstractNum>
  <w:abstractNum w:abstractNumId="18"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F94E1A"/>
    <w:multiLevelType w:val="hybridMultilevel"/>
    <w:tmpl w:val="23E0B0C6"/>
    <w:lvl w:ilvl="0" w:tplc="E7509B4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7"/>
  </w:num>
  <w:num w:numId="3">
    <w:abstractNumId w:val="4"/>
  </w:num>
  <w:num w:numId="4">
    <w:abstractNumId w:val="7"/>
  </w:num>
  <w:num w:numId="5">
    <w:abstractNumId w:val="14"/>
  </w:num>
  <w:num w:numId="6">
    <w:abstractNumId w:val="18"/>
  </w:num>
  <w:num w:numId="7">
    <w:abstractNumId w:val="7"/>
  </w:num>
  <w:num w:numId="8">
    <w:abstractNumId w:val="1"/>
  </w:num>
  <w:num w:numId="9">
    <w:abstractNumId w:val="2"/>
  </w:num>
  <w:num w:numId="10">
    <w:abstractNumId w:val="19"/>
  </w:num>
  <w:num w:numId="11">
    <w:abstractNumId w:val="9"/>
  </w:num>
  <w:num w:numId="12">
    <w:abstractNumId w:val="5"/>
  </w:num>
  <w:num w:numId="13">
    <w:abstractNumId w:val="12"/>
  </w:num>
  <w:num w:numId="14">
    <w:abstractNumId w:val="10"/>
  </w:num>
  <w:num w:numId="15">
    <w:abstractNumId w:val="13"/>
  </w:num>
  <w:num w:numId="16">
    <w:abstractNumId w:val="0"/>
  </w:num>
  <w:num w:numId="17">
    <w:abstractNumId w:val="15"/>
  </w:num>
  <w:num w:numId="18">
    <w:abstractNumId w:val="8"/>
  </w:num>
  <w:num w:numId="19">
    <w:abstractNumId w:val="11"/>
  </w:num>
  <w:num w:numId="20">
    <w:abstractNumId w:val="16"/>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1005"/>
    <w:rsid w:val="0000241F"/>
    <w:rsid w:val="00014E83"/>
    <w:rsid w:val="0001533B"/>
    <w:rsid w:val="000211D6"/>
    <w:rsid w:val="000215C7"/>
    <w:rsid w:val="000235D3"/>
    <w:rsid w:val="0002587F"/>
    <w:rsid w:val="00025E6D"/>
    <w:rsid w:val="0002600D"/>
    <w:rsid w:val="00027AB0"/>
    <w:rsid w:val="000314A6"/>
    <w:rsid w:val="0003347D"/>
    <w:rsid w:val="00040294"/>
    <w:rsid w:val="00040FEE"/>
    <w:rsid w:val="00041E0D"/>
    <w:rsid w:val="00043777"/>
    <w:rsid w:val="000467EB"/>
    <w:rsid w:val="00054672"/>
    <w:rsid w:val="000609C9"/>
    <w:rsid w:val="00061683"/>
    <w:rsid w:val="00065CEC"/>
    <w:rsid w:val="0006724D"/>
    <w:rsid w:val="000708AA"/>
    <w:rsid w:val="00080F13"/>
    <w:rsid w:val="00085D6F"/>
    <w:rsid w:val="000921F5"/>
    <w:rsid w:val="0009517A"/>
    <w:rsid w:val="000A54A6"/>
    <w:rsid w:val="000B6892"/>
    <w:rsid w:val="000C02CA"/>
    <w:rsid w:val="000D5266"/>
    <w:rsid w:val="000D7328"/>
    <w:rsid w:val="000F2EF8"/>
    <w:rsid w:val="0010142B"/>
    <w:rsid w:val="001017AC"/>
    <w:rsid w:val="00106892"/>
    <w:rsid w:val="0011399D"/>
    <w:rsid w:val="0012225E"/>
    <w:rsid w:val="00124FDA"/>
    <w:rsid w:val="00127407"/>
    <w:rsid w:val="00127E47"/>
    <w:rsid w:val="001304C5"/>
    <w:rsid w:val="0014256C"/>
    <w:rsid w:val="00143200"/>
    <w:rsid w:val="001436B8"/>
    <w:rsid w:val="00144322"/>
    <w:rsid w:val="0015325E"/>
    <w:rsid w:val="001640E7"/>
    <w:rsid w:val="00165246"/>
    <w:rsid w:val="00166AC8"/>
    <w:rsid w:val="00172C07"/>
    <w:rsid w:val="00172C9B"/>
    <w:rsid w:val="001764F5"/>
    <w:rsid w:val="00176593"/>
    <w:rsid w:val="00184B2E"/>
    <w:rsid w:val="00187B2E"/>
    <w:rsid w:val="00193B94"/>
    <w:rsid w:val="00195B12"/>
    <w:rsid w:val="001A0AC6"/>
    <w:rsid w:val="001C20BB"/>
    <w:rsid w:val="001C4272"/>
    <w:rsid w:val="001C67B4"/>
    <w:rsid w:val="001D0DFD"/>
    <w:rsid w:val="001E493A"/>
    <w:rsid w:val="001E5852"/>
    <w:rsid w:val="001F1C93"/>
    <w:rsid w:val="001F31E3"/>
    <w:rsid w:val="001F5C6A"/>
    <w:rsid w:val="002037A5"/>
    <w:rsid w:val="00214774"/>
    <w:rsid w:val="00226CD2"/>
    <w:rsid w:val="00230964"/>
    <w:rsid w:val="00231D4F"/>
    <w:rsid w:val="0023304F"/>
    <w:rsid w:val="002426E4"/>
    <w:rsid w:val="00243C9C"/>
    <w:rsid w:val="00245748"/>
    <w:rsid w:val="00252C5C"/>
    <w:rsid w:val="002530FD"/>
    <w:rsid w:val="00265C6A"/>
    <w:rsid w:val="00276D2E"/>
    <w:rsid w:val="00283BAF"/>
    <w:rsid w:val="002866C9"/>
    <w:rsid w:val="00294CDB"/>
    <w:rsid w:val="002975E0"/>
    <w:rsid w:val="00297ED7"/>
    <w:rsid w:val="002A237B"/>
    <w:rsid w:val="002A6493"/>
    <w:rsid w:val="002A7F76"/>
    <w:rsid w:val="002B4C5F"/>
    <w:rsid w:val="002C59D2"/>
    <w:rsid w:val="002C7300"/>
    <w:rsid w:val="002D34F1"/>
    <w:rsid w:val="002D74A2"/>
    <w:rsid w:val="002E0215"/>
    <w:rsid w:val="002E600A"/>
    <w:rsid w:val="002F2D32"/>
    <w:rsid w:val="002F4198"/>
    <w:rsid w:val="0030204F"/>
    <w:rsid w:val="00302914"/>
    <w:rsid w:val="003044EA"/>
    <w:rsid w:val="00323DF0"/>
    <w:rsid w:val="00332F89"/>
    <w:rsid w:val="0034091B"/>
    <w:rsid w:val="00340FD6"/>
    <w:rsid w:val="00342E47"/>
    <w:rsid w:val="00344CBF"/>
    <w:rsid w:val="0034505A"/>
    <w:rsid w:val="00347BF3"/>
    <w:rsid w:val="003803D1"/>
    <w:rsid w:val="003836E3"/>
    <w:rsid w:val="00387A79"/>
    <w:rsid w:val="00390D9E"/>
    <w:rsid w:val="00391040"/>
    <w:rsid w:val="00392CCD"/>
    <w:rsid w:val="003A1EBB"/>
    <w:rsid w:val="003A218E"/>
    <w:rsid w:val="003B2E53"/>
    <w:rsid w:val="003B4153"/>
    <w:rsid w:val="003C4942"/>
    <w:rsid w:val="003D2B70"/>
    <w:rsid w:val="003D6CC0"/>
    <w:rsid w:val="003E0975"/>
    <w:rsid w:val="003E6962"/>
    <w:rsid w:val="003F4991"/>
    <w:rsid w:val="003F5E77"/>
    <w:rsid w:val="003F7328"/>
    <w:rsid w:val="00400A27"/>
    <w:rsid w:val="004019B7"/>
    <w:rsid w:val="00406CC5"/>
    <w:rsid w:val="004100E5"/>
    <w:rsid w:val="004107FE"/>
    <w:rsid w:val="00411685"/>
    <w:rsid w:val="00423DBF"/>
    <w:rsid w:val="0043017D"/>
    <w:rsid w:val="00433C87"/>
    <w:rsid w:val="004353D0"/>
    <w:rsid w:val="00447E80"/>
    <w:rsid w:val="00455BC6"/>
    <w:rsid w:val="004570E9"/>
    <w:rsid w:val="00464BC3"/>
    <w:rsid w:val="0046592C"/>
    <w:rsid w:val="00466DD3"/>
    <w:rsid w:val="004748EF"/>
    <w:rsid w:val="004758A9"/>
    <w:rsid w:val="00480D86"/>
    <w:rsid w:val="00482C53"/>
    <w:rsid w:val="0048392F"/>
    <w:rsid w:val="004851FD"/>
    <w:rsid w:val="00485F98"/>
    <w:rsid w:val="00490E73"/>
    <w:rsid w:val="00493459"/>
    <w:rsid w:val="00494B8C"/>
    <w:rsid w:val="004A3560"/>
    <w:rsid w:val="004A39B8"/>
    <w:rsid w:val="004B08E3"/>
    <w:rsid w:val="004B592E"/>
    <w:rsid w:val="004B62F2"/>
    <w:rsid w:val="004C2267"/>
    <w:rsid w:val="004C61E8"/>
    <w:rsid w:val="004C6373"/>
    <w:rsid w:val="004D5BCE"/>
    <w:rsid w:val="004E1B82"/>
    <w:rsid w:val="004F19A1"/>
    <w:rsid w:val="004F4671"/>
    <w:rsid w:val="004F49F5"/>
    <w:rsid w:val="005012EA"/>
    <w:rsid w:val="0052610A"/>
    <w:rsid w:val="0052663F"/>
    <w:rsid w:val="00533C18"/>
    <w:rsid w:val="00534787"/>
    <w:rsid w:val="005415E0"/>
    <w:rsid w:val="00542B4C"/>
    <w:rsid w:val="00550A64"/>
    <w:rsid w:val="00551883"/>
    <w:rsid w:val="005542AC"/>
    <w:rsid w:val="005552CD"/>
    <w:rsid w:val="00566E44"/>
    <w:rsid w:val="00572814"/>
    <w:rsid w:val="005744F4"/>
    <w:rsid w:val="00577EB2"/>
    <w:rsid w:val="00577F87"/>
    <w:rsid w:val="00586C30"/>
    <w:rsid w:val="00592CF2"/>
    <w:rsid w:val="00595D86"/>
    <w:rsid w:val="005A1ACC"/>
    <w:rsid w:val="005D16B4"/>
    <w:rsid w:val="005D376E"/>
    <w:rsid w:val="005D3FA9"/>
    <w:rsid w:val="005D5067"/>
    <w:rsid w:val="005E0EDE"/>
    <w:rsid w:val="005E2B01"/>
    <w:rsid w:val="005E58B5"/>
    <w:rsid w:val="0060725A"/>
    <w:rsid w:val="0061790A"/>
    <w:rsid w:val="006212B5"/>
    <w:rsid w:val="00632E56"/>
    <w:rsid w:val="006406DD"/>
    <w:rsid w:val="0065344E"/>
    <w:rsid w:val="006544A0"/>
    <w:rsid w:val="00665B2F"/>
    <w:rsid w:val="00675028"/>
    <w:rsid w:val="006756AE"/>
    <w:rsid w:val="006800F3"/>
    <w:rsid w:val="006942AD"/>
    <w:rsid w:val="006A2CD4"/>
    <w:rsid w:val="006A4A76"/>
    <w:rsid w:val="006A7B10"/>
    <w:rsid w:val="006B1377"/>
    <w:rsid w:val="006D1780"/>
    <w:rsid w:val="006E56FE"/>
    <w:rsid w:val="006E68D8"/>
    <w:rsid w:val="006E7F24"/>
    <w:rsid w:val="006F185E"/>
    <w:rsid w:val="006F2B3D"/>
    <w:rsid w:val="006F3CA2"/>
    <w:rsid w:val="006F5ED8"/>
    <w:rsid w:val="00703152"/>
    <w:rsid w:val="0071434C"/>
    <w:rsid w:val="00722AE0"/>
    <w:rsid w:val="00726395"/>
    <w:rsid w:val="00742D03"/>
    <w:rsid w:val="00745B05"/>
    <w:rsid w:val="00760451"/>
    <w:rsid w:val="007654DC"/>
    <w:rsid w:val="00766A36"/>
    <w:rsid w:val="00781075"/>
    <w:rsid w:val="00787CF3"/>
    <w:rsid w:val="0079706D"/>
    <w:rsid w:val="007A4179"/>
    <w:rsid w:val="007A7883"/>
    <w:rsid w:val="007C37FA"/>
    <w:rsid w:val="007C3FC3"/>
    <w:rsid w:val="007D0A88"/>
    <w:rsid w:val="007D6EAC"/>
    <w:rsid w:val="007E12C5"/>
    <w:rsid w:val="007E44D1"/>
    <w:rsid w:val="007E4EE6"/>
    <w:rsid w:val="007F2C15"/>
    <w:rsid w:val="007F560A"/>
    <w:rsid w:val="007F5F40"/>
    <w:rsid w:val="007F610C"/>
    <w:rsid w:val="008038BB"/>
    <w:rsid w:val="008203D8"/>
    <w:rsid w:val="0082399A"/>
    <w:rsid w:val="008245C4"/>
    <w:rsid w:val="00826523"/>
    <w:rsid w:val="0083605C"/>
    <w:rsid w:val="0084166D"/>
    <w:rsid w:val="00845951"/>
    <w:rsid w:val="008503D5"/>
    <w:rsid w:val="00853AC5"/>
    <w:rsid w:val="00854BB4"/>
    <w:rsid w:val="0085616C"/>
    <w:rsid w:val="008645D3"/>
    <w:rsid w:val="0086760C"/>
    <w:rsid w:val="00874421"/>
    <w:rsid w:val="008751C0"/>
    <w:rsid w:val="008858FE"/>
    <w:rsid w:val="008A00C9"/>
    <w:rsid w:val="008A226A"/>
    <w:rsid w:val="008A2B40"/>
    <w:rsid w:val="008B220A"/>
    <w:rsid w:val="008B3DE2"/>
    <w:rsid w:val="008B421E"/>
    <w:rsid w:val="008B6267"/>
    <w:rsid w:val="008C2A2A"/>
    <w:rsid w:val="008C2FAE"/>
    <w:rsid w:val="008C4816"/>
    <w:rsid w:val="008D015B"/>
    <w:rsid w:val="008D71FF"/>
    <w:rsid w:val="008E53FA"/>
    <w:rsid w:val="008F279B"/>
    <w:rsid w:val="008F29D5"/>
    <w:rsid w:val="00903F40"/>
    <w:rsid w:val="00905A50"/>
    <w:rsid w:val="00912015"/>
    <w:rsid w:val="009237A0"/>
    <w:rsid w:val="00927224"/>
    <w:rsid w:val="00942659"/>
    <w:rsid w:val="009507D9"/>
    <w:rsid w:val="00951C0F"/>
    <w:rsid w:val="00954AFE"/>
    <w:rsid w:val="00955E28"/>
    <w:rsid w:val="009647D1"/>
    <w:rsid w:val="00964AF5"/>
    <w:rsid w:val="00970FC5"/>
    <w:rsid w:val="00976C6E"/>
    <w:rsid w:val="00981385"/>
    <w:rsid w:val="00983099"/>
    <w:rsid w:val="00983612"/>
    <w:rsid w:val="00992E76"/>
    <w:rsid w:val="009A242E"/>
    <w:rsid w:val="009A7058"/>
    <w:rsid w:val="009B598A"/>
    <w:rsid w:val="009B74C4"/>
    <w:rsid w:val="009C7071"/>
    <w:rsid w:val="009D293D"/>
    <w:rsid w:val="009E4995"/>
    <w:rsid w:val="009E5E6C"/>
    <w:rsid w:val="009F02DB"/>
    <w:rsid w:val="009F7227"/>
    <w:rsid w:val="009F7A35"/>
    <w:rsid w:val="00A00073"/>
    <w:rsid w:val="00A03CF8"/>
    <w:rsid w:val="00A138AC"/>
    <w:rsid w:val="00A172AC"/>
    <w:rsid w:val="00A2075F"/>
    <w:rsid w:val="00A23091"/>
    <w:rsid w:val="00A34BC2"/>
    <w:rsid w:val="00A401D3"/>
    <w:rsid w:val="00A404A2"/>
    <w:rsid w:val="00A511CD"/>
    <w:rsid w:val="00A562AD"/>
    <w:rsid w:val="00A649FE"/>
    <w:rsid w:val="00A71FE3"/>
    <w:rsid w:val="00A72427"/>
    <w:rsid w:val="00A72CCC"/>
    <w:rsid w:val="00A74D11"/>
    <w:rsid w:val="00A903A0"/>
    <w:rsid w:val="00A9380B"/>
    <w:rsid w:val="00A9412D"/>
    <w:rsid w:val="00A973AE"/>
    <w:rsid w:val="00A97D81"/>
    <w:rsid w:val="00AA5C22"/>
    <w:rsid w:val="00AA696D"/>
    <w:rsid w:val="00AB0034"/>
    <w:rsid w:val="00AB0937"/>
    <w:rsid w:val="00AB38F1"/>
    <w:rsid w:val="00AB44C0"/>
    <w:rsid w:val="00AB7957"/>
    <w:rsid w:val="00AC7ADC"/>
    <w:rsid w:val="00AD1D33"/>
    <w:rsid w:val="00AD3B2E"/>
    <w:rsid w:val="00AD4330"/>
    <w:rsid w:val="00AD6140"/>
    <w:rsid w:val="00AE498F"/>
    <w:rsid w:val="00AF35EE"/>
    <w:rsid w:val="00AF5795"/>
    <w:rsid w:val="00B00843"/>
    <w:rsid w:val="00B170D4"/>
    <w:rsid w:val="00B24EB2"/>
    <w:rsid w:val="00B3499B"/>
    <w:rsid w:val="00B44E4F"/>
    <w:rsid w:val="00B45D2C"/>
    <w:rsid w:val="00B54288"/>
    <w:rsid w:val="00B62986"/>
    <w:rsid w:val="00B760E7"/>
    <w:rsid w:val="00B805E9"/>
    <w:rsid w:val="00B86E49"/>
    <w:rsid w:val="00B901F7"/>
    <w:rsid w:val="00B90AA4"/>
    <w:rsid w:val="00B96693"/>
    <w:rsid w:val="00BB1152"/>
    <w:rsid w:val="00BB4A06"/>
    <w:rsid w:val="00BB4E58"/>
    <w:rsid w:val="00BC798D"/>
    <w:rsid w:val="00BE4D9C"/>
    <w:rsid w:val="00BF1D45"/>
    <w:rsid w:val="00BF25C5"/>
    <w:rsid w:val="00BF3163"/>
    <w:rsid w:val="00C22C27"/>
    <w:rsid w:val="00C24A94"/>
    <w:rsid w:val="00C25FBE"/>
    <w:rsid w:val="00C3149D"/>
    <w:rsid w:val="00C326A0"/>
    <w:rsid w:val="00C537EE"/>
    <w:rsid w:val="00C54B87"/>
    <w:rsid w:val="00C63CB5"/>
    <w:rsid w:val="00C66648"/>
    <w:rsid w:val="00C70C5C"/>
    <w:rsid w:val="00C73645"/>
    <w:rsid w:val="00C73F83"/>
    <w:rsid w:val="00C753D6"/>
    <w:rsid w:val="00C820CF"/>
    <w:rsid w:val="00C94A39"/>
    <w:rsid w:val="00CA24A3"/>
    <w:rsid w:val="00CA3919"/>
    <w:rsid w:val="00CA50B6"/>
    <w:rsid w:val="00CB689F"/>
    <w:rsid w:val="00CB7477"/>
    <w:rsid w:val="00CD0DEB"/>
    <w:rsid w:val="00CD2809"/>
    <w:rsid w:val="00CD703E"/>
    <w:rsid w:val="00CE071B"/>
    <w:rsid w:val="00CE1954"/>
    <w:rsid w:val="00CF24C8"/>
    <w:rsid w:val="00D11594"/>
    <w:rsid w:val="00D12332"/>
    <w:rsid w:val="00D26A5F"/>
    <w:rsid w:val="00D2713B"/>
    <w:rsid w:val="00D34834"/>
    <w:rsid w:val="00D35439"/>
    <w:rsid w:val="00D40829"/>
    <w:rsid w:val="00D545A5"/>
    <w:rsid w:val="00D545B4"/>
    <w:rsid w:val="00D60E0B"/>
    <w:rsid w:val="00D64C63"/>
    <w:rsid w:val="00D66263"/>
    <w:rsid w:val="00D6669D"/>
    <w:rsid w:val="00D71955"/>
    <w:rsid w:val="00D75CF8"/>
    <w:rsid w:val="00D816A2"/>
    <w:rsid w:val="00D83BF2"/>
    <w:rsid w:val="00DA7D08"/>
    <w:rsid w:val="00DB111C"/>
    <w:rsid w:val="00DB429D"/>
    <w:rsid w:val="00DB4D1B"/>
    <w:rsid w:val="00DB6C24"/>
    <w:rsid w:val="00DB7E53"/>
    <w:rsid w:val="00DC157A"/>
    <w:rsid w:val="00DC1AF9"/>
    <w:rsid w:val="00DC1EDE"/>
    <w:rsid w:val="00DC20E1"/>
    <w:rsid w:val="00DC486E"/>
    <w:rsid w:val="00DC77EB"/>
    <w:rsid w:val="00DD4F21"/>
    <w:rsid w:val="00DE25FB"/>
    <w:rsid w:val="00DF28B6"/>
    <w:rsid w:val="00DF2E76"/>
    <w:rsid w:val="00E00931"/>
    <w:rsid w:val="00E057B7"/>
    <w:rsid w:val="00E07216"/>
    <w:rsid w:val="00E11369"/>
    <w:rsid w:val="00E13B1D"/>
    <w:rsid w:val="00E2095E"/>
    <w:rsid w:val="00E20B81"/>
    <w:rsid w:val="00E250F2"/>
    <w:rsid w:val="00E25C65"/>
    <w:rsid w:val="00E3121E"/>
    <w:rsid w:val="00E329A9"/>
    <w:rsid w:val="00E339DC"/>
    <w:rsid w:val="00E43E99"/>
    <w:rsid w:val="00E4566F"/>
    <w:rsid w:val="00E56DBA"/>
    <w:rsid w:val="00E644BD"/>
    <w:rsid w:val="00E70B72"/>
    <w:rsid w:val="00E71463"/>
    <w:rsid w:val="00E7416B"/>
    <w:rsid w:val="00E82821"/>
    <w:rsid w:val="00E90338"/>
    <w:rsid w:val="00EC1DFF"/>
    <w:rsid w:val="00ED6478"/>
    <w:rsid w:val="00EE46E9"/>
    <w:rsid w:val="00EF122C"/>
    <w:rsid w:val="00F02DD3"/>
    <w:rsid w:val="00F04592"/>
    <w:rsid w:val="00F26053"/>
    <w:rsid w:val="00F32077"/>
    <w:rsid w:val="00F3552B"/>
    <w:rsid w:val="00F417A8"/>
    <w:rsid w:val="00F43FD4"/>
    <w:rsid w:val="00F5050C"/>
    <w:rsid w:val="00F51852"/>
    <w:rsid w:val="00F525E8"/>
    <w:rsid w:val="00F55C7D"/>
    <w:rsid w:val="00F67168"/>
    <w:rsid w:val="00F675EC"/>
    <w:rsid w:val="00F701D1"/>
    <w:rsid w:val="00F701E9"/>
    <w:rsid w:val="00F70AC7"/>
    <w:rsid w:val="00F853A0"/>
    <w:rsid w:val="00F92F9B"/>
    <w:rsid w:val="00FA0D2D"/>
    <w:rsid w:val="00FA5EB1"/>
    <w:rsid w:val="00FA7673"/>
    <w:rsid w:val="00FA77FB"/>
    <w:rsid w:val="00FB18EF"/>
    <w:rsid w:val="00FB1CF3"/>
    <w:rsid w:val="00FB51DC"/>
    <w:rsid w:val="00FC13B9"/>
    <w:rsid w:val="00FC2941"/>
    <w:rsid w:val="00FC2CB6"/>
    <w:rsid w:val="00FC2E12"/>
    <w:rsid w:val="00FC36C3"/>
    <w:rsid w:val="00FD0A9B"/>
    <w:rsid w:val="00FD379C"/>
    <w:rsid w:val="00FD50AB"/>
    <w:rsid w:val="00FD51A1"/>
    <w:rsid w:val="00FD62C8"/>
    <w:rsid w:val="00FE0FF6"/>
    <w:rsid w:val="00FF3074"/>
    <w:rsid w:val="00FF4728"/>
    <w:rsid w:val="00FF48ED"/>
    <w:rsid w:val="00FF4F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3F5E77"/>
    <w:pPr>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semiHidden/>
    <w:unhideWhenUsed/>
    <w:rsid w:val="002A7F76"/>
  </w:style>
  <w:style w:type="character" w:customStyle="1" w:styleId="CommentTextChar">
    <w:name w:val="Comment Text Char"/>
    <w:basedOn w:val="DefaultParagraphFont"/>
    <w:link w:val="CommentText"/>
    <w:uiPriority w:val="99"/>
    <w:semiHidden/>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basedOn w:val="Normal"/>
    <w:uiPriority w:val="34"/>
    <w:qFormat/>
    <w:rsid w:val="003836E3"/>
    <w:pPr>
      <w:ind w:left="720"/>
      <w:contextualSpacing/>
    </w:pPr>
  </w:style>
  <w:style w:type="paragraph" w:styleId="Revision">
    <w:name w:val="Revision"/>
    <w:hidden/>
    <w:uiPriority w:val="99"/>
    <w:semiHidden/>
    <w:rsid w:val="00485F98"/>
    <w:pPr>
      <w:spacing w:after="0" w:line="240" w:lineRule="auto"/>
    </w:pPr>
    <w:rPr>
      <w:rFonts w:ascii="Times New Roman" w:hAnsi="Times New Roman" w:cs="Times New Roman"/>
      <w:sz w:val="20"/>
      <w:szCs w:val="20"/>
    </w:rPr>
  </w:style>
  <w:style w:type="table" w:styleId="TableGrid">
    <w:name w:val="Table Grid"/>
    <w:basedOn w:val="TableNormal"/>
    <w:uiPriority w:val="39"/>
    <w:rsid w:val="002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24FDA"/>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909267">
      <w:bodyDiv w:val="1"/>
      <w:marLeft w:val="0"/>
      <w:marRight w:val="0"/>
      <w:marTop w:val="0"/>
      <w:marBottom w:val="0"/>
      <w:divBdr>
        <w:top w:val="none" w:sz="0" w:space="0" w:color="auto"/>
        <w:left w:val="none" w:sz="0" w:space="0" w:color="auto"/>
        <w:bottom w:val="none" w:sz="0" w:space="0" w:color="auto"/>
        <w:right w:val="none" w:sz="0" w:space="0" w:color="auto"/>
      </w:divBdr>
    </w:div>
    <w:div w:id="967245910">
      <w:bodyDiv w:val="1"/>
      <w:marLeft w:val="0"/>
      <w:marRight w:val="0"/>
      <w:marTop w:val="0"/>
      <w:marBottom w:val="0"/>
      <w:divBdr>
        <w:top w:val="none" w:sz="0" w:space="0" w:color="auto"/>
        <w:left w:val="none" w:sz="0" w:space="0" w:color="auto"/>
        <w:bottom w:val="none" w:sz="0" w:space="0" w:color="auto"/>
        <w:right w:val="none" w:sz="0" w:space="0" w:color="auto"/>
      </w:divBdr>
    </w:div>
    <w:div w:id="198280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4BA35-5D8A-4488-87C5-42BB9E0D96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08EB83-B511-47AF-BE40-540DFA10F941}">
  <ds:schemaRefs>
    <ds:schemaRef ds:uri="http://schemas.microsoft.com/sharepoint/v3/contenttype/forms"/>
  </ds:schemaRefs>
</ds:datastoreItem>
</file>

<file path=customXml/itemProps3.xml><?xml version="1.0" encoding="utf-8"?>
<ds:datastoreItem xmlns:ds="http://schemas.openxmlformats.org/officeDocument/2006/customXml" ds:itemID="{F0624B21-035D-43A8-ACD2-9D202510C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B8E7C7A-5B32-46CC-ADF8-0658C0924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2117</Words>
  <Characters>9462</Characters>
  <Application>Microsoft Office Word</Application>
  <DocSecurity>0</DocSecurity>
  <Lines>178</Lines>
  <Paragraphs>93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cp:lastModifiedBy>
  <cp:revision>5</cp:revision>
  <dcterms:created xsi:type="dcterms:W3CDTF">2017-09-29T06:33:00Z</dcterms:created>
  <dcterms:modified xsi:type="dcterms:W3CDTF">2017-09-29T06:40:00Z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a79f4eda-0f93-41e4-b889-6bcc941705b2</vt:lpwstr>
  </property>
  <property fmtid="{D5CDD505-2E9C-101B-9397-08002B2CF9AE}" pid="4" name="CTP_BU">
    <vt:lpwstr>NEXT GEN AND STANDARDS GROUP</vt:lpwstr>
  </property>
  <property fmtid="{D5CDD505-2E9C-101B-9397-08002B2CF9AE}" pid="5" name="CTP_TimeStamp">
    <vt:lpwstr>2017-09-29 06:40:50Z</vt:lpwstr>
  </property>
  <property fmtid="{D5CDD505-2E9C-101B-9397-08002B2CF9AE}" pid="6" name="CTPClassification">
    <vt:lpwstr>CTP_IC</vt:lpwstr>
  </property>
</Properties>
</file>